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6EACE">
      <w:pPr>
        <w:pStyle w:val="131"/>
        <w:framePr w:wrap="around"/>
      </w:pPr>
      <w:r>
        <w:rPr>
          <w:rFonts w:ascii="Times New Roman"/>
        </w:rPr>
        <w:t>ICS</w:t>
      </w:r>
      <w:r>
        <w:rPr>
          <w:rFonts w:hint="eastAsia" w:ascii="MS Mincho" w:hAnsi="MS Mincho" w:eastAsia="MS Mincho" w:cs="MS Mincho"/>
        </w:rPr>
        <w:t> </w:t>
      </w:r>
      <w:r>
        <w:fldChar w:fldCharType="begin">
          <w:ffData>
            <w:name w:val="ICS"/>
            <w:enabled/>
            <w:calcOnExit w:val="0"/>
            <w:textInput>
              <w:default w:val="65.100.20"/>
            </w:textInput>
          </w:ffData>
        </w:fldChar>
      </w:r>
      <w:bookmarkStart w:id="0" w:name="ICS"/>
      <w:r>
        <w:instrText xml:space="preserve"> FORMTEXT </w:instrText>
      </w:r>
      <w:r>
        <w:fldChar w:fldCharType="separate"/>
      </w:r>
      <w:r>
        <w:t>65.100.20</w:t>
      </w:r>
      <w:r>
        <w:fldChar w:fldCharType="end"/>
      </w:r>
      <w:bookmarkEnd w:id="0"/>
    </w:p>
    <w:p w14:paraId="07DC24D8">
      <w:pPr>
        <w:pStyle w:val="131"/>
        <w:framePr w:wrap="around"/>
      </w:pPr>
      <w:bookmarkStart w:id="1" w:name="WXFLH"/>
      <w:r>
        <w:t xml:space="preserve">CCS </w:t>
      </w:r>
      <w:r>
        <w:fldChar w:fldCharType="begin">
          <w:ffData>
            <w:name w:val="WXFLH"/>
            <w:enabled/>
            <w:calcOnExit w:val="0"/>
            <w:textInput>
              <w:default w:val="G 25"/>
            </w:textInput>
          </w:ffData>
        </w:fldChar>
      </w:r>
      <w:r>
        <w:instrText xml:space="preserve"> FORMTEXT </w:instrText>
      </w:r>
      <w:r>
        <w:fldChar w:fldCharType="separate"/>
      </w:r>
      <w:r>
        <w:t>G 25</w:t>
      </w:r>
      <w:r>
        <w:fldChar w:fldCharType="end"/>
      </w:r>
      <w:bookmarkEnd w:id="1"/>
    </w:p>
    <w:p w14:paraId="008C28BC">
      <w:pPr>
        <w:pStyle w:val="74"/>
        <w:framePr w:wrap="around"/>
      </w:pPr>
      <w:r>
        <w:drawing>
          <wp:inline distT="0" distB="0" distL="0" distR="0">
            <wp:extent cx="1441450" cy="723900"/>
            <wp:effectExtent l="19050" t="0" r="6350" b="0"/>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9" cstate="print"/>
                    <a:srcRect/>
                    <a:stretch>
                      <a:fillRect/>
                    </a:stretch>
                  </pic:blipFill>
                  <pic:spPr>
                    <a:xfrm>
                      <a:off x="0" y="0"/>
                      <a:ext cx="1441450" cy="723900"/>
                    </a:xfrm>
                    <a:prstGeom prst="rect">
                      <a:avLst/>
                    </a:prstGeom>
                    <a:noFill/>
                    <a:ln w="9525">
                      <a:noFill/>
                      <a:miter lim="800000"/>
                      <a:headEnd/>
                      <a:tailEnd/>
                    </a:ln>
                  </pic:spPr>
                </pic:pic>
              </a:graphicData>
            </a:graphic>
          </wp:inline>
        </w:drawing>
      </w:r>
    </w:p>
    <w:p w14:paraId="6A1DE3E9">
      <w:pPr>
        <w:pStyle w:val="75"/>
        <w:framePr w:wrap="around"/>
      </w:pPr>
      <w:r>
        <w:rPr>
          <w:rFonts w:hint="eastAsia"/>
        </w:rPr>
        <w:t>中华人民共和国国家标准</w:t>
      </w:r>
    </w:p>
    <w:p w14:paraId="5CB6D068">
      <w:pPr>
        <w:pStyle w:val="55"/>
        <w:framePr w:wrap="around"/>
      </w:pPr>
      <w:r>
        <w:rPr>
          <w:rFonts w:ascii="Times New Roman"/>
        </w:rPr>
        <w:t xml:space="preserve">GB/T </w:t>
      </w:r>
      <w:r>
        <w:fldChar w:fldCharType="begin">
          <w:ffData>
            <w:enabled/>
            <w:calcOnExit w:val="0"/>
            <w:textInput>
              <w:default w:val="XXXXX"/>
              <w:maxLength w:val="5"/>
            </w:textInput>
          </w:ffData>
        </w:fldChar>
      </w:r>
      <w:r>
        <w:instrText xml:space="preserve"> FORMTEXT </w:instrText>
      </w:r>
      <w:r>
        <w:fldChar w:fldCharType="separate"/>
      </w:r>
      <w:r>
        <w:t>XXXXX</w:t>
      </w:r>
      <w:r>
        <w:fldChar w:fldCharType="end"/>
      </w:r>
      <w:r>
        <w:t>—</w:t>
      </w:r>
      <w:bookmarkStart w:id="2"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2"/>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1FADD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1F1B9240">
            <w:pPr>
              <w:pStyle w:val="84"/>
              <w:framePr w:wrap="around"/>
              <w:wordWrap w:val="0"/>
            </w:pPr>
            <w:bookmarkStart w:id="3" w:name="DT"/>
            <w:r>
              <w:pict>
                <v:rect id="DT" o:spid="_x0000_s1026" o:spt="1" style="position:absolute;left:0pt;margin-left:372.8pt;margin-top:119.8pt;height:18pt;width:90pt;z-index:-251657216;mso-width-relative:page;mso-height-relative:page;" stroked="f" coordsize="21600,21600" o:gfxdata="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MVOiDYAAAACwEAAA8AAAAAAAAAAQAg&#10;AAAAIgAAAGRycy9kb3ducmV2LnhtbFBLAQIUABQAAAAIAIdO4kBylVQhDgIAAC8EAAAOAAAAAAAA&#10;AAEAIAAAACcBAABkcnMvZTJvRG9jLnhtbFBLBQYAAAAABgAGAFkBAACnBQAAAAA=&#10;">
                  <v:path/>
                  <v:fill focussize="0,0"/>
                  <v:stroke on="f"/>
                  <v:imagedata o:title=""/>
                  <o:lock v:ext="edit"/>
                  <w10:anchorlock/>
                </v:rect>
              </w:pict>
            </w:r>
            <w:bookmarkEnd w:id="3"/>
            <w:r>
              <w:rPr>
                <w:rFonts w:hint="eastAsia"/>
              </w:rPr>
              <w:t>代替</w:t>
            </w:r>
            <w:r>
              <w:t xml:space="preserve">GB/T </w:t>
            </w:r>
            <w:r>
              <w:rPr>
                <w:rFonts w:hint="eastAsia"/>
              </w:rPr>
              <w:t>24754—2009</w:t>
            </w:r>
            <w:r>
              <w:t xml:space="preserve"> </w:t>
            </w:r>
          </w:p>
        </w:tc>
      </w:tr>
    </w:tbl>
    <w:p w14:paraId="1D78D5D7">
      <w:pPr>
        <w:pStyle w:val="55"/>
        <w:framePr w:wrap="around"/>
      </w:pPr>
    </w:p>
    <w:p w14:paraId="44ACBFD9">
      <w:pPr>
        <w:pStyle w:val="86"/>
        <w:framePr w:wrap="around"/>
      </w:pPr>
      <w:r>
        <w:rPr>
          <w:rFonts w:hint="eastAsia"/>
        </w:rPr>
        <w:t>扑草净原药</w:t>
      </w:r>
    </w:p>
    <w:p w14:paraId="651E39CB">
      <w:pPr>
        <w:pStyle w:val="86"/>
        <w:framePr w:wrap="around"/>
        <w:rPr>
          <w:rFonts w:ascii="Times New Roman"/>
          <w:sz w:val="28"/>
          <w:szCs w:val="28"/>
        </w:rPr>
      </w:pPr>
      <w:r>
        <w:rPr>
          <w:rFonts w:hint="eastAsia" w:ascii="Times New Roman"/>
          <w:sz w:val="28"/>
          <w:szCs w:val="28"/>
        </w:rPr>
        <w:t xml:space="preserve">Prometryn technical </w:t>
      </w:r>
      <w:r>
        <w:rPr>
          <w:rFonts w:ascii="Times New Roman"/>
          <w:sz w:val="28"/>
          <w:szCs w:val="28"/>
        </w:rPr>
        <w:t>material</w:t>
      </w: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37581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14:paraId="03649B25">
            <w:pPr>
              <w:pStyle w:val="89"/>
              <w:framePr w:wrap="around"/>
            </w:pPr>
            <w:r>
              <w:pict>
                <v:rect id="LB" o:spid="_x0000_s1040" o:spt="1" style="position:absolute;left:0pt;margin-left:193.3pt;margin-top:312.15pt;height:24pt;width:100pt;z-index:-251656192;mso-width-relative:page;mso-height-relative:page;" stroked="f" coordsize="21600,21600" o:gfxdata="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cPkw1wAAAAsBAAAPAAAAAAAAAAEAIAAA&#10;ACIAAABkcnMvZG93bnJldi54bWxQSwECFAAUAAAACACHTuJAOEh3ew0CAAAvBAAADgAAAAAAAAAB&#10;ACAAAAAmAQAAZHJzL2Uyb0RvYy54bWxQSwUGAAAAAAYABgBZAQAApQUAAAAA&#10;">
                  <v:path/>
                  <v:fill focussize="0,0"/>
                  <v:stroke on="f"/>
                  <v:imagedata o:title=""/>
                  <o:lock v:ext="edit"/>
                </v:rect>
              </w:pict>
            </w:r>
            <w:r>
              <w:rPr>
                <w:rFonts w:hint="eastAsia"/>
              </w:rPr>
              <w:t>征求意见稿</w:t>
            </w:r>
          </w:p>
        </w:tc>
      </w:tr>
      <w:tr w14:paraId="450F18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F65D2AD">
            <w:pPr>
              <w:pStyle w:val="90"/>
              <w:framePr w:wrap="around"/>
            </w:pPr>
            <w:r>
              <w:rPr>
                <w:rFonts w:hint="eastAsia"/>
              </w:rPr>
              <w:t>（本稿完成日期：</w:t>
            </w:r>
            <w:r>
              <w:t>202</w:t>
            </w:r>
            <w:r>
              <w:rPr>
                <w:rFonts w:hint="eastAsia"/>
              </w:rPr>
              <w:t>5年1</w:t>
            </w:r>
            <w:r>
              <w:rPr>
                <w:rFonts w:hint="eastAsia"/>
                <w:lang w:val="en-US" w:eastAsia="zh-CN"/>
              </w:rPr>
              <w:t>1</w:t>
            </w:r>
            <w:r>
              <w:rPr>
                <w:rFonts w:hint="eastAsia"/>
              </w:rPr>
              <w:t>月）</w:t>
            </w:r>
          </w:p>
        </w:tc>
      </w:tr>
      <w:tr w14:paraId="4637E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BD98B51">
            <w:pPr>
              <w:pStyle w:val="88"/>
              <w:framePr w:wrap="around"/>
              <w:rPr>
                <w:sz w:val="24"/>
                <w:szCs w:val="24"/>
              </w:rPr>
            </w:pPr>
            <w:bookmarkStart w:id="4" w:name="FY"/>
            <w:r>
              <w:rPr>
                <w:rFonts w:hint="eastAsia"/>
                <w:sz w:val="24"/>
                <w:szCs w:val="24"/>
              </w:rPr>
              <w:t>在提交反馈意见时，请将您知道的相关专利连同支持性文件一并附上</w:t>
            </w:r>
          </w:p>
          <w:p w14:paraId="3C4980BB">
            <w:pPr>
              <w:pStyle w:val="90"/>
              <w:framePr w:wrap="around"/>
            </w:pPr>
          </w:p>
        </w:tc>
      </w:tr>
    </w:tbl>
    <w:p w14:paraId="1FF28A03">
      <w:pPr>
        <w:pStyle w:val="138"/>
        <w:framePr w:wrap="around" w:vAnchor="text" w:hAnchor="page" w:x="1529" w:y="13557"/>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rPr>
          <w:rFonts w:ascii="黑体"/>
        </w:rPr>
        <w:t>-</w:t>
      </w:r>
      <w:bookmarkStart w:id="5"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ascii="黑体"/>
        </w:rPr>
        <w:t>-</w:t>
      </w:r>
      <w:bookmarkStart w:id="6"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p>
    <w:p w14:paraId="11BC528D">
      <w:pPr>
        <w:pStyle w:val="139"/>
        <w:framePr w:wrap="around" w:vAnchor="text" w:hAnchor="page" w:x="6990" w:y="13561"/>
      </w:pPr>
      <w:bookmarkStart w:id="7"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rPr>
          <w:rFonts w:ascii="黑体"/>
        </w:rPr>
        <w:t>-</w:t>
      </w:r>
      <w:bookmarkStart w:id="8"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bookmarkStart w:id="9"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14:paraId="4CED7E5D">
      <w:pPr>
        <w:pStyle w:val="23"/>
        <w:ind w:firstLine="440"/>
        <w:sectPr>
          <w:headerReference r:id="rId3" w:type="even"/>
          <w:footerReference r:id="rId4" w:type="even"/>
          <w:pgSz w:w="11906" w:h="16838"/>
          <w:pgMar w:top="567" w:right="1134" w:bottom="1134" w:left="1417" w:header="0" w:footer="0" w:gutter="0"/>
          <w:pgNumType w:start="1"/>
          <w:cols w:space="720" w:num="1"/>
          <w:docGrid w:type="lines" w:linePitch="312" w:charSpace="0"/>
        </w:sectPr>
      </w:pPr>
      <w:bookmarkStart w:id="10" w:name="_Toc457491869"/>
      <w:bookmarkStart w:id="11" w:name="_Toc458086732"/>
      <w:bookmarkStart w:id="12" w:name="_Toc440293240"/>
      <w:r>
        <w:drawing>
          <wp:anchor distT="0" distB="0" distL="114300" distR="114300" simplePos="0" relativeHeight="251663360" behindDoc="0" locked="0" layoutInCell="1" allowOverlap="1">
            <wp:simplePos x="0" y="0"/>
            <wp:positionH relativeFrom="column">
              <wp:posOffset>871855</wp:posOffset>
            </wp:positionH>
            <wp:positionV relativeFrom="margin">
              <wp:posOffset>9117330</wp:posOffset>
            </wp:positionV>
            <wp:extent cx="4194175" cy="7239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95779" cy="724145"/>
                    </a:xfrm>
                    <a:prstGeom prst="rect">
                      <a:avLst/>
                    </a:prstGeom>
                    <a:noFill/>
                    <a:ln>
                      <a:noFill/>
                    </a:ln>
                  </pic:spPr>
                </pic:pic>
              </a:graphicData>
            </a:graphic>
          </wp:anchor>
        </w:drawing>
      </w:r>
      <w:r>
        <w:pict>
          <v:line id="_x0000_s1039" o:spid="_x0000_s1039" o:spt="20" style="position:absolute;left:0pt;margin-top:705.05pt;height:0pt;width:482pt;mso-position-horizontal:left;mso-position-horizontal-relative:margin;z-index:251662336;mso-width-relative:page;mso-height-relative:page;" stroked="t" coordsize="21600,21600" o:gfxdata="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mYfSXW&#10;AAAACgEAAA8AAAAAAAAAAQAgAAAAIgAAAGRycy9kb3ducmV2LnhtbFBLAQIUABQAAAAIAIdO4kBn&#10;JOob6QEAALsDAAAOAAAAAAAAAAEAIAAAACUBAABkcnMvZTJvRG9jLnhtbFBLBQYAAAAABgAGAFkB&#10;AACABQAAAAA=&#10;">
            <v:path arrowok="t"/>
            <v:fill focussize="0,0"/>
            <v:stroke weight="1pt" color="#080000"/>
            <v:imagedata o:title=""/>
            <o:lock v:ext="edit"/>
          </v:line>
        </w:pict>
      </w:r>
      <w:r>
        <w:pict>
          <v:line id="直接连接符 8" o:spid="_x0000_s1038" o:spt="20" style="position:absolute;left:0pt;margin-left:-0.05pt;margin-top:184.15pt;height:0pt;width:481.9pt;z-index:251661312;mso-width-relative:page;mso-height-relative:page;" coordsize="21600,21600" o:gfxdata="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E0/HbX&#10;AAAACQEAAA8AAAAAAAAAAQAgAAAAIgAAAGRycy9kb3ducmV2LnhtbFBLAQIUABQAAAAIAIdO4kDd&#10;CM146AEAALgDAAAOAAAAAAAAAAEAIAAAACYBAABkcnMvZTJvRG9jLnhtbFBLBQYAAAAABgAGAFkB&#10;AACABQAAAAA=&#10;">
            <v:path arrowok="t"/>
            <v:fill focussize="0,0"/>
            <v:stroke/>
            <v:imagedata o:title=""/>
            <o:lock v:ext="edit"/>
            <w10:anchorlock/>
          </v:line>
        </w:pict>
      </w:r>
    </w:p>
    <w:p w14:paraId="68BF4CED">
      <w:pPr>
        <w:pStyle w:val="120"/>
      </w:pPr>
      <w:r>
        <w:rPr>
          <w:rFonts w:hint="eastAsia"/>
        </w:rPr>
        <w:t>前</w:t>
      </w:r>
      <w:bookmarkStart w:id="13" w:name="BKQY"/>
      <w:r>
        <w:rPr>
          <w:rFonts w:hint="eastAsia" w:hAnsi="黑体"/>
        </w:rPr>
        <w:t>  </w:t>
      </w:r>
      <w:r>
        <w:rPr>
          <w:rFonts w:hint="eastAsia"/>
        </w:rPr>
        <w:t>言</w:t>
      </w:r>
      <w:bookmarkEnd w:id="10"/>
      <w:bookmarkEnd w:id="11"/>
      <w:bookmarkEnd w:id="12"/>
      <w:bookmarkEnd w:id="13"/>
    </w:p>
    <w:p w14:paraId="731EACC4">
      <w:pPr>
        <w:pStyle w:val="23"/>
        <w:rPr>
          <w:sz w:val="21"/>
          <w:szCs w:val="21"/>
        </w:rPr>
      </w:pPr>
      <w:r>
        <w:rPr>
          <w:rFonts w:hint="eastAsia"/>
          <w:sz w:val="21"/>
          <w:szCs w:val="21"/>
        </w:rPr>
        <w:t>本文件按照 GB/T 1.1—20</w:t>
      </w:r>
      <w:r>
        <w:rPr>
          <w:sz w:val="21"/>
          <w:szCs w:val="21"/>
        </w:rPr>
        <w:t>20</w:t>
      </w:r>
      <w:r>
        <w:rPr>
          <w:rFonts w:hint="eastAsia"/>
          <w:sz w:val="21"/>
          <w:szCs w:val="21"/>
        </w:rPr>
        <w:t xml:space="preserve">《标准化工作导则 </w:t>
      </w:r>
      <w:r>
        <w:rPr>
          <w:sz w:val="21"/>
          <w:szCs w:val="21"/>
        </w:rPr>
        <w:t xml:space="preserve"> </w:t>
      </w:r>
      <w:r>
        <w:rPr>
          <w:rFonts w:hint="eastAsia"/>
          <w:sz w:val="21"/>
          <w:szCs w:val="21"/>
        </w:rPr>
        <w:t>第1部分：标准化文件的结构和起草规则》的规定起草。</w:t>
      </w:r>
    </w:p>
    <w:p w14:paraId="78B899C9">
      <w:pPr>
        <w:pStyle w:val="23"/>
        <w:rPr>
          <w:rFonts w:hAnsi="宋体"/>
          <w:sz w:val="21"/>
          <w:szCs w:val="21"/>
        </w:rPr>
      </w:pPr>
      <w:r>
        <w:rPr>
          <w:rFonts w:hint="eastAsia" w:hAnsi="宋体"/>
          <w:sz w:val="21"/>
          <w:szCs w:val="21"/>
        </w:rPr>
        <w:t>本文件代替</w:t>
      </w:r>
      <w:r>
        <w:rPr>
          <w:rFonts w:hAnsi="宋体"/>
          <w:sz w:val="21"/>
          <w:szCs w:val="21"/>
        </w:rPr>
        <w:t xml:space="preserve"> GB/T </w:t>
      </w:r>
      <w:r>
        <w:rPr>
          <w:rFonts w:hint="eastAsia" w:hAnsi="宋体"/>
          <w:sz w:val="21"/>
          <w:szCs w:val="21"/>
        </w:rPr>
        <w:t>24754—2009《扑草净原药》，与</w:t>
      </w:r>
      <w:r>
        <w:rPr>
          <w:rFonts w:hAnsi="宋体"/>
          <w:sz w:val="21"/>
          <w:szCs w:val="21"/>
        </w:rPr>
        <w:t xml:space="preserve"> GB/T </w:t>
      </w:r>
      <w:r>
        <w:rPr>
          <w:rFonts w:hint="eastAsia" w:hAnsi="宋体"/>
          <w:sz w:val="21"/>
          <w:szCs w:val="21"/>
        </w:rPr>
        <w:t>24754—2009相比，</w:t>
      </w:r>
      <w:r>
        <w:rPr>
          <w:rFonts w:hint="eastAsia" w:hAnsi="宋体" w:cs="宋体"/>
          <w:sz w:val="21"/>
          <w:szCs w:val="21"/>
        </w:rPr>
        <w:t>除结构调整和编辑性改动外，</w:t>
      </w:r>
      <w:r>
        <w:rPr>
          <w:rFonts w:hint="eastAsia" w:hAnsi="宋体"/>
          <w:sz w:val="21"/>
          <w:szCs w:val="21"/>
        </w:rPr>
        <w:t>主要技术变化如下：</w:t>
      </w:r>
    </w:p>
    <w:p w14:paraId="703ADA4E">
      <w:pPr>
        <w:pStyle w:val="67"/>
        <w:numPr>
          <w:ilvl w:val="0"/>
          <w:numId w:val="0"/>
        </w:numPr>
        <w:ind w:firstLine="420"/>
        <w:rPr>
          <w:rFonts w:hAnsi="宋体" w:cs="Arial"/>
          <w:szCs w:val="21"/>
        </w:rPr>
      </w:pPr>
      <w:r>
        <w:rPr>
          <w:rFonts w:ascii="Times New Roman"/>
          <w:spacing w:val="-60"/>
          <w:szCs w:val="21"/>
        </w:rPr>
        <w:t>—</w:t>
      </w:r>
      <w:r>
        <w:rPr>
          <w:rFonts w:ascii="Times New Roman"/>
          <w:szCs w:val="21"/>
        </w:rPr>
        <w:t>—</w:t>
      </w:r>
      <w:r>
        <w:rPr>
          <w:rFonts w:hint="eastAsia" w:ascii="Times New Roman"/>
          <w:szCs w:val="21"/>
        </w:rPr>
        <w:t xml:space="preserve"> </w:t>
      </w:r>
      <w:r>
        <w:rPr>
          <w:rFonts w:hint="eastAsia" w:hAnsi="宋体" w:cs="Arial"/>
          <w:szCs w:val="21"/>
        </w:rPr>
        <w:t>更改了扑草净质量分数</w:t>
      </w:r>
      <w:r>
        <w:rPr>
          <w:rFonts w:hint="eastAsia" w:hAnsi="宋体"/>
        </w:rPr>
        <w:t>技术指标</w:t>
      </w:r>
      <w:r>
        <w:rPr>
          <w:rFonts w:hint="eastAsia" w:hAnsi="宋体" w:cs="Arial"/>
          <w:szCs w:val="21"/>
        </w:rPr>
        <w:t>（见</w:t>
      </w:r>
      <w:r>
        <w:rPr>
          <w:rFonts w:hAnsi="宋体" w:cs="Arial"/>
          <w:szCs w:val="21"/>
        </w:rPr>
        <w:t>4.</w:t>
      </w:r>
      <w:r>
        <w:rPr>
          <w:rFonts w:hint="eastAsia" w:hAnsi="宋体" w:cs="Arial"/>
          <w:szCs w:val="21"/>
        </w:rPr>
        <w:t>2，</w:t>
      </w:r>
      <w:r>
        <w:rPr>
          <w:rFonts w:hint="eastAsia" w:hAnsi="宋体"/>
          <w:szCs w:val="21"/>
        </w:rPr>
        <w:t>2009版</w:t>
      </w:r>
      <w:r>
        <w:rPr>
          <w:rFonts w:hint="eastAsia" w:hAnsi="宋体" w:cs="宋体"/>
          <w:szCs w:val="21"/>
        </w:rPr>
        <w:t>的</w:t>
      </w:r>
      <w:r>
        <w:rPr>
          <w:rFonts w:hAnsi="宋体" w:cs="Arial"/>
          <w:szCs w:val="21"/>
        </w:rPr>
        <w:t>3.</w:t>
      </w:r>
      <w:r>
        <w:rPr>
          <w:rFonts w:hint="eastAsia" w:hAnsi="宋体" w:cs="Arial"/>
          <w:szCs w:val="21"/>
        </w:rPr>
        <w:t>2）；</w:t>
      </w:r>
    </w:p>
    <w:p w14:paraId="10CD3B6B">
      <w:pPr>
        <w:pStyle w:val="67"/>
        <w:numPr>
          <w:ilvl w:val="0"/>
          <w:numId w:val="0"/>
        </w:numPr>
        <w:ind w:firstLine="420"/>
        <w:rPr>
          <w:rFonts w:hAnsi="宋体" w:cs="Arial"/>
          <w:szCs w:val="21"/>
        </w:rPr>
      </w:pPr>
      <w:bookmarkStart w:id="14" w:name="OLE_LINK15"/>
      <w:r>
        <w:rPr>
          <w:rFonts w:ascii="Times New Roman"/>
          <w:spacing w:val="-60"/>
          <w:szCs w:val="21"/>
        </w:rPr>
        <w:t>—</w:t>
      </w:r>
      <w:r>
        <w:rPr>
          <w:rFonts w:ascii="Times New Roman"/>
          <w:szCs w:val="21"/>
        </w:rPr>
        <w:t>—</w:t>
      </w:r>
      <w:bookmarkEnd w:id="14"/>
      <w:r>
        <w:rPr>
          <w:rFonts w:hint="eastAsia" w:hAnsi="宋体" w:cs="Arial"/>
          <w:szCs w:val="21"/>
        </w:rPr>
        <w:t xml:space="preserve"> 更改了</w:t>
      </w:r>
      <w:r>
        <w:rPr>
          <w:rFonts w:hint="eastAsia"/>
        </w:rPr>
        <w:t>氯化钠</w:t>
      </w:r>
      <w:r>
        <w:rPr>
          <w:rFonts w:hint="eastAsia" w:hAnsi="宋体" w:cs="Arial"/>
          <w:szCs w:val="21"/>
        </w:rPr>
        <w:t>质量分数</w:t>
      </w:r>
      <w:r>
        <w:rPr>
          <w:rFonts w:hint="eastAsia" w:hAnsi="宋体"/>
        </w:rPr>
        <w:t>技术指标</w:t>
      </w:r>
      <w:r>
        <w:rPr>
          <w:rFonts w:hint="eastAsia" w:hAnsi="宋体" w:cs="Arial"/>
          <w:szCs w:val="21"/>
        </w:rPr>
        <w:t>（见</w:t>
      </w:r>
      <w:r>
        <w:rPr>
          <w:rFonts w:hAnsi="宋体" w:cs="Arial"/>
          <w:szCs w:val="21"/>
        </w:rPr>
        <w:t>4.</w:t>
      </w:r>
      <w:r>
        <w:rPr>
          <w:rFonts w:hint="eastAsia" w:hAnsi="宋体" w:cs="Arial"/>
          <w:szCs w:val="21"/>
        </w:rPr>
        <w:t>2，</w:t>
      </w:r>
      <w:r>
        <w:rPr>
          <w:rFonts w:hint="eastAsia" w:hAnsi="宋体"/>
          <w:szCs w:val="21"/>
        </w:rPr>
        <w:t>2009版</w:t>
      </w:r>
      <w:r>
        <w:rPr>
          <w:rFonts w:hint="eastAsia" w:hAnsi="宋体" w:cs="宋体"/>
          <w:szCs w:val="21"/>
        </w:rPr>
        <w:t>的</w:t>
      </w:r>
      <w:r>
        <w:rPr>
          <w:rFonts w:hAnsi="宋体" w:cs="Arial"/>
          <w:szCs w:val="21"/>
        </w:rPr>
        <w:t>3.</w:t>
      </w:r>
      <w:r>
        <w:rPr>
          <w:rFonts w:hint="eastAsia" w:hAnsi="宋体" w:cs="Arial"/>
          <w:szCs w:val="21"/>
        </w:rPr>
        <w:t>2）；</w:t>
      </w:r>
    </w:p>
    <w:p w14:paraId="2FA5D85C">
      <w:pPr>
        <w:pStyle w:val="67"/>
        <w:numPr>
          <w:ilvl w:val="0"/>
          <w:numId w:val="0"/>
        </w:numPr>
        <w:ind w:firstLine="420"/>
        <w:rPr>
          <w:rFonts w:hAnsi="宋体" w:cs="Arial"/>
          <w:szCs w:val="21"/>
        </w:rPr>
      </w:pPr>
      <w:r>
        <w:rPr>
          <w:rFonts w:ascii="Times New Roman"/>
          <w:spacing w:val="-60"/>
          <w:szCs w:val="21"/>
        </w:rPr>
        <w:t>—</w:t>
      </w:r>
      <w:r>
        <w:rPr>
          <w:rFonts w:ascii="Times New Roman"/>
          <w:szCs w:val="21"/>
        </w:rPr>
        <w:t>—</w:t>
      </w:r>
      <w:r>
        <w:rPr>
          <w:rFonts w:hint="eastAsia" w:ascii="Times New Roman"/>
          <w:szCs w:val="21"/>
        </w:rPr>
        <w:t xml:space="preserve"> </w:t>
      </w:r>
      <w:r>
        <w:rPr>
          <w:rFonts w:hint="eastAsia" w:hAnsi="宋体" w:cs="Arial"/>
          <w:szCs w:val="21"/>
        </w:rPr>
        <w:t>将干燥减量指标改为水分（见</w:t>
      </w:r>
      <w:r>
        <w:rPr>
          <w:rFonts w:hAnsi="宋体" w:cs="Arial"/>
          <w:szCs w:val="21"/>
        </w:rPr>
        <w:t>4.</w:t>
      </w:r>
      <w:r>
        <w:rPr>
          <w:rFonts w:hint="eastAsia" w:hAnsi="宋体" w:cs="Arial"/>
          <w:szCs w:val="21"/>
        </w:rPr>
        <w:t>2）；</w:t>
      </w:r>
    </w:p>
    <w:p w14:paraId="521F5FE1">
      <w:pPr>
        <w:pStyle w:val="67"/>
        <w:numPr>
          <w:ilvl w:val="0"/>
          <w:numId w:val="0"/>
        </w:numPr>
        <w:ind w:firstLine="420"/>
        <w:rPr>
          <w:rFonts w:hAnsi="宋体" w:cs="Arial"/>
          <w:szCs w:val="21"/>
        </w:rPr>
      </w:pPr>
      <w:r>
        <w:rPr>
          <w:rFonts w:ascii="Times New Roman"/>
          <w:spacing w:val="-60"/>
          <w:szCs w:val="21"/>
        </w:rPr>
        <w:t>—</w:t>
      </w:r>
      <w:r>
        <w:rPr>
          <w:rFonts w:ascii="Times New Roman"/>
          <w:szCs w:val="21"/>
        </w:rPr>
        <w:t>—</w:t>
      </w:r>
      <w:r>
        <w:rPr>
          <w:rFonts w:hint="eastAsia" w:ascii="Times New Roman"/>
          <w:szCs w:val="21"/>
        </w:rPr>
        <w:t xml:space="preserve"> </w:t>
      </w:r>
      <w:r>
        <w:rPr>
          <w:rFonts w:hint="eastAsia" w:hAnsi="宋体" w:cs="Arial"/>
          <w:szCs w:val="21"/>
        </w:rPr>
        <w:t>增加了pH值</w:t>
      </w:r>
      <w:r>
        <w:rPr>
          <w:rFonts w:hint="eastAsia" w:hAnsi="宋体"/>
        </w:rPr>
        <w:t>技术指标</w:t>
      </w:r>
      <w:r>
        <w:rPr>
          <w:rFonts w:hint="eastAsia" w:hAnsi="宋体" w:cs="Arial"/>
          <w:szCs w:val="21"/>
        </w:rPr>
        <w:t>（见</w:t>
      </w:r>
      <w:r>
        <w:rPr>
          <w:rFonts w:hAnsi="宋体" w:cs="Arial"/>
          <w:szCs w:val="21"/>
        </w:rPr>
        <w:t>4.</w:t>
      </w:r>
      <w:r>
        <w:rPr>
          <w:rFonts w:hint="eastAsia" w:hAnsi="宋体" w:cs="Arial"/>
          <w:szCs w:val="21"/>
        </w:rPr>
        <w:t>2）；</w:t>
      </w:r>
    </w:p>
    <w:p w14:paraId="12D03526">
      <w:pPr>
        <w:widowControl/>
        <w:tabs>
          <w:tab w:val="center" w:pos="4201"/>
          <w:tab w:val="right" w:leader="dot" w:pos="9298"/>
        </w:tabs>
        <w:autoSpaceDE w:val="0"/>
        <w:autoSpaceDN w:val="0"/>
        <w:ind w:left="604" w:leftChars="200" w:hanging="184" w:hangingChars="205"/>
        <w:rPr>
          <w:rFonts w:ascii="宋体" w:hAnsi="宋体"/>
          <w:kern w:val="0"/>
          <w:szCs w:val="20"/>
        </w:rPr>
      </w:pPr>
      <w:r>
        <w:rPr>
          <w:color w:val="000000"/>
          <w:spacing w:val="-60"/>
          <w:kern w:val="0"/>
          <w:szCs w:val="21"/>
        </w:rPr>
        <w:t>—</w:t>
      </w:r>
      <w:r>
        <w:rPr>
          <w:color w:val="000000"/>
          <w:kern w:val="0"/>
          <w:szCs w:val="21"/>
        </w:rPr>
        <w:t>—</w:t>
      </w:r>
      <w:r>
        <w:rPr>
          <w:rFonts w:hint="eastAsia"/>
          <w:color w:val="000000"/>
          <w:kern w:val="0"/>
          <w:szCs w:val="21"/>
        </w:rPr>
        <w:t xml:space="preserve"> </w:t>
      </w:r>
      <w:r>
        <w:rPr>
          <w:rFonts w:hint="eastAsia" w:ascii="宋体" w:hAnsi="宋体"/>
          <w:kern w:val="0"/>
          <w:szCs w:val="20"/>
        </w:rPr>
        <w:t>更改了扑草净质量分数测定</w:t>
      </w:r>
      <w:r>
        <w:rPr>
          <w:rFonts w:ascii="宋体" w:hAnsi="宋体"/>
          <w:kern w:val="0"/>
          <w:szCs w:val="20"/>
        </w:rPr>
        <w:t>的</w:t>
      </w:r>
      <w:r>
        <w:rPr>
          <w:rFonts w:hint="eastAsia" w:ascii="宋体" w:hAnsi="宋体"/>
        </w:rPr>
        <w:t>气相色谱法，并规定该方法为仲裁法</w:t>
      </w:r>
      <w:r>
        <w:rPr>
          <w:rFonts w:hint="eastAsia" w:ascii="宋体" w:hAnsi="宋体"/>
          <w:kern w:val="0"/>
          <w:szCs w:val="20"/>
        </w:rPr>
        <w:t>(见</w:t>
      </w:r>
      <w:r>
        <w:rPr>
          <w:rFonts w:ascii="宋体" w:hAnsi="宋体"/>
          <w:kern w:val="0"/>
          <w:szCs w:val="20"/>
        </w:rPr>
        <w:t>5.5.1</w:t>
      </w:r>
      <w:r>
        <w:rPr>
          <w:rFonts w:hint="eastAsia" w:ascii="宋体" w:hAnsi="宋体"/>
          <w:kern w:val="0"/>
          <w:szCs w:val="20"/>
        </w:rPr>
        <w:t>，</w:t>
      </w:r>
      <w:r>
        <w:rPr>
          <w:rFonts w:ascii="宋体" w:hAnsi="宋体"/>
          <w:szCs w:val="21"/>
        </w:rPr>
        <w:t>2009年版</w:t>
      </w:r>
      <w:r>
        <w:rPr>
          <w:rFonts w:hint="eastAsia" w:ascii="宋体" w:hAnsi="宋体"/>
          <w:kern w:val="0"/>
          <w:szCs w:val="20"/>
        </w:rPr>
        <w:t>的4.</w:t>
      </w:r>
      <w:r>
        <w:rPr>
          <w:rFonts w:ascii="宋体" w:hAnsi="宋体"/>
          <w:kern w:val="0"/>
          <w:szCs w:val="20"/>
        </w:rPr>
        <w:t>3</w:t>
      </w:r>
      <w:r>
        <w:rPr>
          <w:rFonts w:hint="eastAsia" w:ascii="宋体" w:hAnsi="宋体"/>
          <w:kern w:val="0"/>
          <w:szCs w:val="20"/>
        </w:rPr>
        <w:t>)；</w:t>
      </w:r>
    </w:p>
    <w:p w14:paraId="3CFFEDB5">
      <w:pPr>
        <w:widowControl/>
        <w:tabs>
          <w:tab w:val="left" w:pos="840"/>
        </w:tabs>
        <w:ind w:firstLine="420"/>
        <w:rPr>
          <w:rFonts w:ascii="宋体" w:hAnsi="宋体" w:cs="Arial"/>
          <w:kern w:val="0"/>
          <w:szCs w:val="21"/>
        </w:rPr>
      </w:pPr>
      <w:r>
        <w:rPr>
          <w:spacing w:val="-60"/>
          <w:kern w:val="0"/>
          <w:szCs w:val="21"/>
        </w:rPr>
        <w:t>—</w:t>
      </w:r>
      <w:r>
        <w:rPr>
          <w:kern w:val="0"/>
          <w:szCs w:val="21"/>
        </w:rPr>
        <w:t>—</w:t>
      </w:r>
      <w:r>
        <w:rPr>
          <w:rFonts w:hint="eastAsia"/>
          <w:kern w:val="0"/>
          <w:szCs w:val="21"/>
        </w:rPr>
        <w:t xml:space="preserve"> </w:t>
      </w:r>
      <w:r>
        <w:rPr>
          <w:rFonts w:hint="eastAsia" w:ascii="宋体" w:hAnsi="宋体" w:cs="宋体"/>
          <w:kern w:val="0"/>
          <w:szCs w:val="21"/>
        </w:rPr>
        <w:t>增加了扑草净质量分数的测定方法，液相色谱法（见5.5.2）；</w:t>
      </w:r>
    </w:p>
    <w:p w14:paraId="1B8B8BA4">
      <w:pPr>
        <w:widowControl/>
        <w:tabs>
          <w:tab w:val="center" w:pos="4201"/>
          <w:tab w:val="right" w:leader="dot" w:pos="9298"/>
        </w:tabs>
        <w:autoSpaceDE w:val="0"/>
        <w:autoSpaceDN w:val="0"/>
        <w:ind w:firstLine="425" w:firstLineChars="473"/>
        <w:rPr>
          <w:rFonts w:ascii="宋体" w:hAnsi="宋体" w:cs="宋体"/>
          <w:kern w:val="0"/>
          <w:szCs w:val="21"/>
        </w:rPr>
      </w:pPr>
      <w:r>
        <w:rPr>
          <w:spacing w:val="-60"/>
          <w:szCs w:val="21"/>
        </w:rPr>
        <w:t>—</w:t>
      </w:r>
      <w:r>
        <w:rPr>
          <w:szCs w:val="21"/>
        </w:rPr>
        <w:t>—</w:t>
      </w:r>
      <w:r>
        <w:rPr>
          <w:rFonts w:hint="eastAsia"/>
          <w:szCs w:val="21"/>
        </w:rPr>
        <w:t xml:space="preserve"> </w:t>
      </w:r>
      <w:r>
        <w:rPr>
          <w:rFonts w:hint="eastAsia" w:ascii="宋体" w:hAnsi="宋体" w:cs="宋体"/>
          <w:kern w:val="0"/>
          <w:szCs w:val="21"/>
        </w:rPr>
        <w:t>增加了检验规则（见6）；</w:t>
      </w:r>
    </w:p>
    <w:p w14:paraId="696DE2FC">
      <w:pPr>
        <w:widowControl/>
        <w:tabs>
          <w:tab w:val="center" w:pos="4201"/>
          <w:tab w:val="right" w:leader="dot" w:pos="9298"/>
        </w:tabs>
        <w:autoSpaceDE w:val="0"/>
        <w:autoSpaceDN w:val="0"/>
        <w:ind w:firstLine="425" w:firstLineChars="473"/>
        <w:rPr>
          <w:rFonts w:ascii="宋体" w:hAnsi="宋体" w:cs="宋体"/>
          <w:kern w:val="0"/>
          <w:szCs w:val="21"/>
        </w:rPr>
      </w:pPr>
      <w:r>
        <w:rPr>
          <w:spacing w:val="-60"/>
          <w:szCs w:val="21"/>
        </w:rPr>
        <w:t>—</w:t>
      </w:r>
      <w:r>
        <w:rPr>
          <w:szCs w:val="21"/>
        </w:rPr>
        <w:t>—</w:t>
      </w:r>
      <w:r>
        <w:rPr>
          <w:rFonts w:hint="eastAsia"/>
          <w:szCs w:val="21"/>
        </w:rPr>
        <w:t xml:space="preserve"> </w:t>
      </w:r>
      <w:r>
        <w:rPr>
          <w:rFonts w:hint="eastAsia" w:ascii="宋体" w:hAnsi="宋体" w:cs="宋体"/>
          <w:kern w:val="0"/>
          <w:szCs w:val="21"/>
        </w:rPr>
        <w:t>将验收期改为质量保证期（见7，</w:t>
      </w:r>
      <w:r>
        <w:rPr>
          <w:rFonts w:hint="eastAsia" w:hAnsi="宋体"/>
          <w:szCs w:val="21"/>
        </w:rPr>
        <w:t>2009版</w:t>
      </w:r>
      <w:r>
        <w:rPr>
          <w:rFonts w:hint="eastAsia" w:ascii="宋体" w:hAnsi="宋体" w:cs="宋体"/>
          <w:kern w:val="0"/>
          <w:szCs w:val="21"/>
        </w:rPr>
        <w:t>的</w:t>
      </w:r>
      <w:r>
        <w:rPr>
          <w:rFonts w:ascii="宋体" w:hAnsi="宋体" w:cs="宋体"/>
          <w:kern w:val="0"/>
          <w:szCs w:val="21"/>
        </w:rPr>
        <w:t>5.7</w:t>
      </w:r>
      <w:r>
        <w:rPr>
          <w:rFonts w:hint="eastAsia" w:ascii="宋体" w:hAnsi="宋体" w:cs="宋体"/>
          <w:kern w:val="0"/>
          <w:szCs w:val="21"/>
        </w:rPr>
        <w:t>）。</w:t>
      </w:r>
    </w:p>
    <w:p w14:paraId="1DE5D87A">
      <w:pPr>
        <w:pStyle w:val="23"/>
        <w:rPr>
          <w:rFonts w:hAnsi="宋体" w:cs="Arial"/>
          <w:sz w:val="21"/>
          <w:szCs w:val="21"/>
        </w:rPr>
      </w:pPr>
      <w:r>
        <w:rPr>
          <w:rFonts w:hint="eastAsia"/>
          <w:sz w:val="21"/>
          <w:szCs w:val="21"/>
        </w:rPr>
        <w:t>请注意本文件的某些内容可能涉及专利。本文件的发布机构不承担识别专利的责任。</w:t>
      </w:r>
    </w:p>
    <w:p w14:paraId="7961A348">
      <w:pPr>
        <w:pStyle w:val="23"/>
        <w:rPr>
          <w:rFonts w:hAnsi="宋体"/>
          <w:sz w:val="21"/>
          <w:szCs w:val="21"/>
        </w:rPr>
      </w:pPr>
      <w:r>
        <w:rPr>
          <w:rFonts w:hint="eastAsia" w:hAnsi="宋体"/>
          <w:sz w:val="21"/>
          <w:szCs w:val="21"/>
        </w:rPr>
        <w:t>本文件由</w:t>
      </w:r>
      <w:r>
        <w:rPr>
          <w:rFonts w:hint="eastAsia" w:hAnsi="宋体"/>
          <w:sz w:val="21"/>
          <w:szCs w:val="21"/>
          <w:lang w:val="en-US" w:eastAsia="zh-CN"/>
        </w:rPr>
        <w:t>中华人民共和国</w:t>
      </w:r>
      <w:r>
        <w:rPr>
          <w:rFonts w:hint="eastAsia" w:hAnsi="宋体"/>
          <w:sz w:val="21"/>
          <w:szCs w:val="21"/>
        </w:rPr>
        <w:t>农业农村部提出。</w:t>
      </w:r>
    </w:p>
    <w:p w14:paraId="0B531A55">
      <w:pPr>
        <w:pStyle w:val="23"/>
        <w:rPr>
          <w:rFonts w:hAnsi="宋体"/>
          <w:sz w:val="21"/>
          <w:szCs w:val="21"/>
        </w:rPr>
      </w:pPr>
      <w:r>
        <w:rPr>
          <w:rFonts w:hint="eastAsia" w:hAnsi="宋体"/>
          <w:sz w:val="21"/>
          <w:szCs w:val="21"/>
        </w:rPr>
        <w:t>本文件由全国农药标准化技术委员会（</w:t>
      </w:r>
      <w:r>
        <w:rPr>
          <w:rFonts w:hAnsi="宋体"/>
          <w:sz w:val="21"/>
          <w:szCs w:val="21"/>
        </w:rPr>
        <w:t>SAC/TC 133</w:t>
      </w:r>
      <w:r>
        <w:rPr>
          <w:rFonts w:hint="eastAsia" w:hAnsi="宋体"/>
          <w:sz w:val="21"/>
          <w:szCs w:val="21"/>
        </w:rPr>
        <w:t>）归口。</w:t>
      </w:r>
    </w:p>
    <w:p w14:paraId="4E28C539">
      <w:pPr>
        <w:pStyle w:val="23"/>
        <w:rPr>
          <w:rFonts w:hAnsi="宋体"/>
          <w:sz w:val="21"/>
          <w:szCs w:val="21"/>
        </w:rPr>
      </w:pPr>
      <w:r>
        <w:rPr>
          <w:rFonts w:hint="eastAsia" w:hAnsi="宋体"/>
          <w:sz w:val="21"/>
          <w:szCs w:val="21"/>
        </w:rPr>
        <w:t>本文件起草单位：沈阳沈化院测试技术有限公司等。</w:t>
      </w:r>
    </w:p>
    <w:p w14:paraId="1EABC203">
      <w:pPr>
        <w:pStyle w:val="23"/>
        <w:rPr>
          <w:rFonts w:hAnsi="宋体" w:cs="宋体"/>
          <w:sz w:val="21"/>
          <w:szCs w:val="21"/>
        </w:rPr>
      </w:pPr>
      <w:r>
        <w:rPr>
          <w:rFonts w:hint="eastAsia" w:hAnsi="宋体"/>
          <w:sz w:val="21"/>
          <w:szCs w:val="21"/>
        </w:rPr>
        <w:t>本文件主要起草人：</w:t>
      </w:r>
      <w:r>
        <w:rPr>
          <w:rFonts w:hint="eastAsia"/>
          <w:sz w:val="21"/>
          <w:szCs w:val="21"/>
        </w:rPr>
        <w:t>赵清华等。</w:t>
      </w:r>
    </w:p>
    <w:p w14:paraId="1FD95EB4">
      <w:pPr>
        <w:pStyle w:val="23"/>
        <w:ind w:left="420" w:firstLine="0" w:firstLineChars="0"/>
        <w:rPr>
          <w:rFonts w:hAnsi="宋体"/>
          <w:sz w:val="21"/>
          <w:szCs w:val="21"/>
        </w:rPr>
      </w:pPr>
      <w:r>
        <w:rPr>
          <w:rFonts w:hint="eastAsia" w:hAnsi="宋体"/>
          <w:sz w:val="21"/>
          <w:szCs w:val="21"/>
        </w:rPr>
        <w:t>本文件所代替文件的历次版本发布情况为：</w:t>
      </w:r>
    </w:p>
    <w:p w14:paraId="3ACB3A9C">
      <w:pPr>
        <w:pStyle w:val="23"/>
        <w:ind w:left="420" w:firstLine="0" w:firstLineChars="0"/>
        <w:rPr>
          <w:rFonts w:hAnsi="宋体"/>
          <w:sz w:val="21"/>
          <w:szCs w:val="21"/>
        </w:rPr>
      </w:pPr>
      <w:r>
        <w:rPr>
          <w:spacing w:val="-60"/>
          <w:sz w:val="21"/>
          <w:szCs w:val="21"/>
        </w:rPr>
        <w:t>—</w:t>
      </w:r>
      <w:r>
        <w:rPr>
          <w:sz w:val="21"/>
          <w:szCs w:val="21"/>
        </w:rPr>
        <w:t>—</w:t>
      </w:r>
      <w:r>
        <w:rPr>
          <w:rFonts w:hint="eastAsia"/>
          <w:sz w:val="21"/>
          <w:szCs w:val="21"/>
        </w:rPr>
        <w:t xml:space="preserve"> </w:t>
      </w:r>
      <w:r>
        <w:rPr>
          <w:rFonts w:hAnsi="宋体"/>
          <w:sz w:val="21"/>
          <w:szCs w:val="21"/>
        </w:rPr>
        <w:t xml:space="preserve">GB/T </w:t>
      </w:r>
      <w:r>
        <w:rPr>
          <w:rFonts w:hint="eastAsia" w:hAnsi="宋体"/>
          <w:sz w:val="21"/>
          <w:szCs w:val="21"/>
        </w:rPr>
        <w:t>24754—2009；</w:t>
      </w:r>
    </w:p>
    <w:p w14:paraId="00EA33D3">
      <w:pPr>
        <w:pStyle w:val="23"/>
        <w:ind w:left="420" w:firstLine="0" w:firstLineChars="0"/>
        <w:rPr>
          <w:rFonts w:hAnsi="宋体"/>
          <w:sz w:val="21"/>
          <w:szCs w:val="21"/>
        </w:rPr>
      </w:pPr>
      <w:r>
        <w:rPr>
          <w:spacing w:val="-60"/>
          <w:sz w:val="21"/>
          <w:szCs w:val="21"/>
        </w:rPr>
        <w:t>—</w:t>
      </w:r>
      <w:r>
        <w:rPr>
          <w:sz w:val="21"/>
          <w:szCs w:val="21"/>
        </w:rPr>
        <w:t>—</w:t>
      </w:r>
      <w:r>
        <w:rPr>
          <w:rFonts w:hint="eastAsia"/>
          <w:sz w:val="21"/>
          <w:szCs w:val="21"/>
        </w:rPr>
        <w:t xml:space="preserve"> 本次为首次修订</w:t>
      </w:r>
      <w:r>
        <w:rPr>
          <w:rFonts w:hint="eastAsia" w:hAnsi="宋体"/>
          <w:sz w:val="21"/>
          <w:szCs w:val="21"/>
        </w:rPr>
        <w:t>。</w:t>
      </w:r>
    </w:p>
    <w:p w14:paraId="642D953E">
      <w:pPr>
        <w:pStyle w:val="23"/>
        <w:ind w:left="420" w:firstLine="0" w:firstLineChars="0"/>
        <w:rPr>
          <w:rFonts w:hAnsi="宋体"/>
          <w:sz w:val="21"/>
          <w:szCs w:val="21"/>
        </w:rPr>
      </w:pPr>
    </w:p>
    <w:p w14:paraId="64F85CB2">
      <w:pPr>
        <w:pStyle w:val="23"/>
        <w:ind w:firstLine="440"/>
        <w:rPr>
          <w:szCs w:val="21"/>
        </w:rPr>
      </w:pPr>
    </w:p>
    <w:p w14:paraId="5FF06821">
      <w:pPr>
        <w:pStyle w:val="23"/>
        <w:ind w:firstLine="440"/>
      </w:pPr>
    </w:p>
    <w:p w14:paraId="49BB7623">
      <w:pPr>
        <w:pStyle w:val="58"/>
        <w:sectPr>
          <w:headerReference r:id="rId5" w:type="default"/>
          <w:footerReference r:id="rId6" w:type="default"/>
          <w:pgSz w:w="11906" w:h="16838"/>
          <w:pgMar w:top="567" w:right="1134" w:bottom="1134" w:left="1417" w:header="1418" w:footer="1134" w:gutter="0"/>
          <w:pgNumType w:start="1"/>
          <w:cols w:space="720" w:num="1"/>
          <w:formProt w:val="0"/>
          <w:docGrid w:type="lines" w:linePitch="312" w:charSpace="0"/>
        </w:sectPr>
      </w:pPr>
    </w:p>
    <w:p w14:paraId="76C7B463">
      <w:pPr>
        <w:pStyle w:val="58"/>
      </w:pPr>
      <w:r>
        <w:rPr>
          <w:rFonts w:hint="eastAsia"/>
        </w:rPr>
        <w:t>扑草净原药</w:t>
      </w:r>
    </w:p>
    <w:p w14:paraId="418B13C1">
      <w:pPr>
        <w:pStyle w:val="53"/>
        <w:spacing w:before="312" w:after="312"/>
        <w:rPr>
          <w:szCs w:val="21"/>
        </w:rPr>
      </w:pPr>
      <w:bookmarkStart w:id="15" w:name="_Toc457491870"/>
      <w:bookmarkStart w:id="16" w:name="_Toc458086733"/>
      <w:bookmarkStart w:id="17" w:name="_Toc440293241"/>
      <w:r>
        <w:rPr>
          <w:rFonts w:hint="eastAsia"/>
          <w:szCs w:val="21"/>
        </w:rPr>
        <w:t>范围</w:t>
      </w:r>
      <w:bookmarkEnd w:id="15"/>
      <w:bookmarkEnd w:id="16"/>
      <w:bookmarkEnd w:id="17"/>
    </w:p>
    <w:p w14:paraId="4A72646E">
      <w:pPr>
        <w:pStyle w:val="23"/>
        <w:rPr>
          <w:sz w:val="21"/>
          <w:szCs w:val="21"/>
        </w:rPr>
      </w:pPr>
      <w:r>
        <w:rPr>
          <w:rFonts w:hint="eastAsia"/>
          <w:sz w:val="21"/>
          <w:szCs w:val="21"/>
        </w:rPr>
        <w:t>本文件规定了扑草净原药的技术要求、检验规则</w:t>
      </w:r>
      <w:r>
        <w:rPr>
          <w:sz w:val="21"/>
          <w:szCs w:val="21"/>
        </w:rPr>
        <w:t>、</w:t>
      </w:r>
      <w:r>
        <w:rPr>
          <w:rFonts w:hint="eastAsia"/>
          <w:sz w:val="21"/>
          <w:szCs w:val="21"/>
        </w:rPr>
        <w:t>验收和质量保证期以及标志、标签、包装、储运，描述了扑草净原药的试验方法。</w:t>
      </w:r>
    </w:p>
    <w:p w14:paraId="5B8F7E1A">
      <w:pPr>
        <w:pStyle w:val="23"/>
        <w:rPr>
          <w:sz w:val="21"/>
          <w:szCs w:val="21"/>
        </w:rPr>
      </w:pPr>
      <w:r>
        <w:rPr>
          <w:rFonts w:hint="eastAsia"/>
          <w:sz w:val="21"/>
          <w:szCs w:val="21"/>
        </w:rPr>
        <w:t>本文件适用于扑草净原药产品的</w:t>
      </w:r>
      <w:r>
        <w:rPr>
          <w:sz w:val="21"/>
          <w:szCs w:val="21"/>
        </w:rPr>
        <w:t>质量控制</w:t>
      </w:r>
      <w:r>
        <w:rPr>
          <w:rFonts w:hint="eastAsia"/>
          <w:sz w:val="21"/>
          <w:szCs w:val="21"/>
        </w:rPr>
        <w:t>。</w:t>
      </w:r>
    </w:p>
    <w:p w14:paraId="3D8E2632">
      <w:pPr>
        <w:pStyle w:val="73"/>
        <w:numPr>
          <w:ilvl w:val="0"/>
          <w:numId w:val="0"/>
        </w:numPr>
        <w:ind w:left="363" w:firstLine="62" w:firstLineChars="35"/>
      </w:pPr>
      <w:r>
        <w:rPr>
          <w:rFonts w:hint="eastAsia"/>
        </w:rPr>
        <w:t>注：</w:t>
      </w:r>
      <w:r>
        <w:rPr>
          <w:rFonts w:hint="eastAsia" w:hAnsi="黑体" w:cs="黑体"/>
        </w:rPr>
        <w:t>扑草净、</w:t>
      </w:r>
      <w:r>
        <w:rPr>
          <w:rFonts w:hint="eastAsia"/>
        </w:rPr>
        <w:t>扑灭津、莠灭净、西草净</w:t>
      </w:r>
      <w:r>
        <w:t>的其他名称、结构</w:t>
      </w:r>
      <w:r>
        <w:rPr>
          <w:rFonts w:hint="eastAsia" w:hAnsi="宋体" w:cs="宋体"/>
        </w:rPr>
        <w:t>式和基本物化参数见附录A</w:t>
      </w:r>
      <w:r>
        <w:rPr>
          <w:rFonts w:hint="eastAsia"/>
        </w:rPr>
        <w:t>。</w:t>
      </w:r>
    </w:p>
    <w:p w14:paraId="1496D366">
      <w:pPr>
        <w:pStyle w:val="53"/>
        <w:spacing w:before="312" w:after="312"/>
        <w:rPr>
          <w:szCs w:val="21"/>
        </w:rPr>
      </w:pPr>
      <w:bookmarkStart w:id="18" w:name="_Toc458086734"/>
      <w:bookmarkStart w:id="19" w:name="_Toc440293242"/>
      <w:bookmarkStart w:id="20" w:name="_Toc457491871"/>
      <w:r>
        <w:rPr>
          <w:rFonts w:hint="eastAsia"/>
          <w:szCs w:val="21"/>
        </w:rPr>
        <w:t>规范性引用文件</w:t>
      </w:r>
      <w:bookmarkEnd w:id="18"/>
      <w:bookmarkEnd w:id="19"/>
      <w:bookmarkEnd w:id="20"/>
    </w:p>
    <w:p w14:paraId="330DC71A">
      <w:pPr>
        <w:pStyle w:val="23"/>
        <w:rPr>
          <w:sz w:val="21"/>
          <w:szCs w:val="21"/>
        </w:rPr>
      </w:pPr>
      <w:r>
        <w:rPr>
          <w:rFonts w:hint="eastAsia"/>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A28C785">
      <w:pPr>
        <w:pStyle w:val="23"/>
        <w:ind w:firstLine="440"/>
        <w:rPr>
          <w:rFonts w:hAnsi="宋体"/>
        </w:rPr>
      </w:pPr>
      <w:r>
        <w:rPr>
          <w:rFonts w:hint="eastAsia"/>
        </w:rPr>
        <w:t>GB/T 601</w:t>
      </w:r>
      <w:r>
        <w:rPr>
          <w:rFonts w:hint="eastAsia" w:hAnsi="宋体"/>
        </w:rPr>
        <w:t>—</w:t>
      </w:r>
      <w:r>
        <w:rPr>
          <w:rFonts w:hint="eastAsia"/>
        </w:rPr>
        <w:t>2016 化学试剂标准滴定溶液的制备</w:t>
      </w:r>
    </w:p>
    <w:p w14:paraId="43525582">
      <w:pPr>
        <w:pStyle w:val="23"/>
        <w:ind w:firstLine="440"/>
        <w:rPr>
          <w:rFonts w:hAnsi="宋体"/>
        </w:rPr>
      </w:pPr>
      <w:r>
        <w:rPr>
          <w:rFonts w:hAnsi="宋体"/>
        </w:rPr>
        <w:t>GB/T 1600</w:t>
      </w:r>
      <w:r>
        <w:rPr>
          <w:rFonts w:hint="eastAsia" w:hAnsi="宋体"/>
        </w:rPr>
        <w:t>—</w:t>
      </w:r>
      <w:r>
        <w:rPr>
          <w:rFonts w:hAnsi="宋体"/>
        </w:rPr>
        <w:t>2021 农药水分测定方</w:t>
      </w:r>
      <w:r>
        <w:rPr>
          <w:rFonts w:hint="eastAsia" w:hAnsi="宋体"/>
        </w:rPr>
        <w:t>法</w:t>
      </w:r>
    </w:p>
    <w:p w14:paraId="10E5AA28">
      <w:pPr>
        <w:pStyle w:val="23"/>
        <w:ind w:firstLine="440"/>
        <w:rPr>
          <w:rFonts w:hAnsi="宋体"/>
        </w:rPr>
      </w:pPr>
      <w:r>
        <w:rPr>
          <w:rFonts w:hAnsi="宋体"/>
        </w:rPr>
        <w:t>GB/T 1601</w:t>
      </w:r>
      <w:r>
        <w:rPr>
          <w:rFonts w:hint="eastAsia" w:hAnsi="宋体"/>
          <w:lang w:val="en-US" w:eastAsia="zh-CN"/>
        </w:rPr>
        <w:t xml:space="preserve"> </w:t>
      </w:r>
      <w:r>
        <w:rPr>
          <w:rFonts w:hAnsi="宋体"/>
        </w:rPr>
        <w:t>农药pH值的测定方法</w:t>
      </w:r>
    </w:p>
    <w:p w14:paraId="1CEB3BC3">
      <w:pPr>
        <w:pStyle w:val="23"/>
        <w:ind w:firstLine="440"/>
        <w:rPr>
          <w:rFonts w:hAnsi="宋体"/>
        </w:rPr>
      </w:pPr>
      <w:r>
        <w:rPr>
          <w:rFonts w:hAnsi="宋体"/>
        </w:rPr>
        <w:t>GB/T 1604 商品农药验收规则</w:t>
      </w:r>
    </w:p>
    <w:p w14:paraId="401158DD">
      <w:pPr>
        <w:pStyle w:val="23"/>
        <w:ind w:firstLine="440"/>
        <w:rPr>
          <w:rFonts w:hAnsi="宋体"/>
        </w:rPr>
      </w:pPr>
      <w:r>
        <w:rPr>
          <w:rFonts w:hAnsi="宋体"/>
        </w:rPr>
        <w:t>GB/T 1605</w:t>
      </w:r>
      <w:r>
        <w:rPr>
          <w:rFonts w:hint="eastAsia" w:hAnsi="宋体"/>
        </w:rPr>
        <w:t>—</w:t>
      </w:r>
      <w:r>
        <w:rPr>
          <w:rFonts w:hAnsi="宋体"/>
        </w:rPr>
        <w:t>2001 商品农药采样方法</w:t>
      </w:r>
    </w:p>
    <w:p w14:paraId="2382DFC0">
      <w:pPr>
        <w:pStyle w:val="23"/>
        <w:ind w:firstLine="440"/>
        <w:rPr>
          <w:rFonts w:hAnsi="宋体"/>
        </w:rPr>
      </w:pPr>
      <w:r>
        <w:rPr>
          <w:rFonts w:hAnsi="宋体"/>
        </w:rPr>
        <w:t>GB 3796 农药包装通则</w:t>
      </w:r>
    </w:p>
    <w:p w14:paraId="50F1EEA5">
      <w:pPr>
        <w:pStyle w:val="23"/>
        <w:ind w:firstLine="440"/>
        <w:rPr>
          <w:rFonts w:hAnsi="宋体"/>
        </w:rPr>
      </w:pPr>
      <w:r>
        <w:rPr>
          <w:rFonts w:hAnsi="宋体"/>
        </w:rPr>
        <w:t>GB/T 8170</w:t>
      </w:r>
      <w:r>
        <w:rPr>
          <w:rFonts w:hint="eastAsia" w:hAnsi="宋体"/>
        </w:rPr>
        <w:t>—</w:t>
      </w:r>
      <w:r>
        <w:rPr>
          <w:rFonts w:hAnsi="宋体"/>
        </w:rPr>
        <w:t>2008 数值修约规则与极限数值的表示和判定</w:t>
      </w:r>
    </w:p>
    <w:p w14:paraId="0F59DF05">
      <w:pPr>
        <w:pStyle w:val="23"/>
        <w:ind w:firstLine="440"/>
        <w:rPr>
          <w:rFonts w:hAnsi="宋体"/>
          <w:sz w:val="21"/>
          <w:szCs w:val="21"/>
        </w:rPr>
      </w:pPr>
      <w:r>
        <w:rPr>
          <w:rFonts w:hint="eastAsia" w:hAnsi="宋体"/>
        </w:rPr>
        <w:t>GB/T 43179—2023 农药</w:t>
      </w:r>
      <w:r>
        <w:rPr>
          <w:rFonts w:hint="eastAsia" w:hAnsi="宋体"/>
          <w:i/>
          <w:iCs/>
        </w:rPr>
        <w:t>N</w:t>
      </w:r>
      <w:r>
        <w:rPr>
          <w:rFonts w:ascii="Times New Roman"/>
        </w:rPr>
        <w:t>，</w:t>
      </w:r>
      <w:r>
        <w:rPr>
          <w:rFonts w:hint="eastAsia" w:hAnsi="宋体"/>
          <w:i/>
          <w:iCs/>
        </w:rPr>
        <w:t>N</w:t>
      </w:r>
      <w:r>
        <w:rPr>
          <w:rFonts w:hint="eastAsia" w:hAnsi="宋体"/>
        </w:rPr>
        <w:t>-二甲基甲酰胺不溶物测定方法</w:t>
      </w:r>
    </w:p>
    <w:p w14:paraId="64A213D1">
      <w:pPr>
        <w:pStyle w:val="53"/>
        <w:spacing w:before="312" w:after="312"/>
        <w:rPr>
          <w:szCs w:val="21"/>
        </w:rPr>
      </w:pPr>
      <w:bookmarkStart w:id="21" w:name="_Toc440293243"/>
      <w:bookmarkStart w:id="22" w:name="_Toc457491872"/>
      <w:bookmarkStart w:id="23" w:name="_Toc458086735"/>
      <w:r>
        <w:rPr>
          <w:rFonts w:hint="eastAsia"/>
          <w:szCs w:val="21"/>
        </w:rPr>
        <w:t>术语和定义</w:t>
      </w:r>
    </w:p>
    <w:p w14:paraId="7742615A">
      <w:pPr>
        <w:pStyle w:val="23"/>
        <w:rPr>
          <w:sz w:val="21"/>
          <w:szCs w:val="21"/>
        </w:rPr>
      </w:pPr>
      <w:r>
        <w:rPr>
          <w:rFonts w:hint="eastAsia"/>
          <w:sz w:val="21"/>
          <w:szCs w:val="21"/>
        </w:rPr>
        <w:t>本文件没有需要界定的术语和定义。</w:t>
      </w:r>
    </w:p>
    <w:p w14:paraId="31E913DD">
      <w:pPr>
        <w:pStyle w:val="53"/>
        <w:spacing w:before="312" w:after="312"/>
        <w:rPr>
          <w:szCs w:val="21"/>
        </w:rPr>
      </w:pPr>
      <w:r>
        <w:rPr>
          <w:rFonts w:hint="eastAsia"/>
          <w:szCs w:val="21"/>
        </w:rPr>
        <w:t>技术要求</w:t>
      </w:r>
      <w:bookmarkEnd w:id="21"/>
      <w:bookmarkEnd w:id="22"/>
      <w:bookmarkEnd w:id="23"/>
    </w:p>
    <w:p w14:paraId="36524166">
      <w:pPr>
        <w:pStyle w:val="49"/>
        <w:spacing w:before="156" w:after="156"/>
        <w:rPr>
          <w:sz w:val="21"/>
          <w:szCs w:val="21"/>
        </w:rPr>
      </w:pPr>
      <w:bookmarkStart w:id="24" w:name="_Toc457491873"/>
      <w:bookmarkStart w:id="25" w:name="_Toc440293244"/>
      <w:bookmarkStart w:id="26" w:name="_Toc458086736"/>
      <w:r>
        <w:rPr>
          <w:rFonts w:hint="eastAsia"/>
          <w:sz w:val="21"/>
          <w:szCs w:val="21"/>
        </w:rPr>
        <w:t>外观</w:t>
      </w:r>
      <w:bookmarkEnd w:id="24"/>
      <w:bookmarkEnd w:id="25"/>
      <w:bookmarkEnd w:id="26"/>
    </w:p>
    <w:p w14:paraId="0DB70BBC">
      <w:pPr>
        <w:pStyle w:val="23"/>
        <w:tabs>
          <w:tab w:val="left" w:pos="8475"/>
          <w:tab w:val="clear" w:pos="9298"/>
        </w:tabs>
        <w:ind w:firstLine="440"/>
        <w:rPr>
          <w:rFonts w:hAnsi="宋体"/>
          <w:bCs/>
          <w:sz w:val="21"/>
          <w:szCs w:val="21"/>
        </w:rPr>
      </w:pPr>
      <w:bookmarkStart w:id="27" w:name="_Toc440293245"/>
      <w:bookmarkStart w:id="28" w:name="_Toc458086737"/>
      <w:bookmarkStart w:id="29" w:name="_Toc457491874"/>
      <w:r>
        <w:rPr>
          <w:rFonts w:hint="eastAsia"/>
        </w:rPr>
        <w:t>灰白色至白色粉末</w:t>
      </w:r>
      <w:r>
        <w:rPr>
          <w:rFonts w:hAnsi="宋体"/>
          <w:sz w:val="21"/>
          <w:szCs w:val="21"/>
        </w:rPr>
        <w:t>。</w:t>
      </w:r>
    </w:p>
    <w:p w14:paraId="506EAEB8">
      <w:pPr>
        <w:pStyle w:val="49"/>
        <w:spacing w:before="156" w:after="156"/>
        <w:rPr>
          <w:sz w:val="21"/>
          <w:szCs w:val="21"/>
        </w:rPr>
      </w:pPr>
      <w:r>
        <w:rPr>
          <w:rFonts w:hint="eastAsia"/>
          <w:sz w:val="21"/>
          <w:szCs w:val="21"/>
        </w:rPr>
        <w:t>技术指标</w:t>
      </w:r>
      <w:bookmarkEnd w:id="27"/>
      <w:bookmarkEnd w:id="28"/>
      <w:bookmarkEnd w:id="29"/>
    </w:p>
    <w:p w14:paraId="686095D0">
      <w:pPr>
        <w:pStyle w:val="23"/>
        <w:rPr>
          <w:rFonts w:ascii="黑体" w:eastAsia="黑体"/>
        </w:rPr>
      </w:pPr>
      <w:r>
        <w:rPr>
          <w:rFonts w:hint="eastAsia"/>
          <w:sz w:val="21"/>
          <w:szCs w:val="21"/>
        </w:rPr>
        <w:t>扑草净原药应符合表</w:t>
      </w:r>
      <w:r>
        <w:rPr>
          <w:sz w:val="21"/>
          <w:szCs w:val="21"/>
        </w:rPr>
        <w:t>1</w:t>
      </w:r>
      <w:r>
        <w:rPr>
          <w:rFonts w:hint="eastAsia"/>
          <w:sz w:val="21"/>
          <w:szCs w:val="21"/>
        </w:rPr>
        <w:t>要求。</w:t>
      </w:r>
      <w:r>
        <w:br w:type="page"/>
      </w:r>
    </w:p>
    <w:p w14:paraId="272D41FC">
      <w:pPr>
        <w:pStyle w:val="134"/>
        <w:numPr>
          <w:ilvl w:val="0"/>
          <w:numId w:val="20"/>
        </w:numPr>
        <w:tabs>
          <w:tab w:val="left" w:pos="360"/>
        </w:tabs>
        <w:spacing w:before="156" w:after="156"/>
        <w:ind w:firstLine="420"/>
      </w:pPr>
      <w:r>
        <w:rPr>
          <w:rFonts w:hint="eastAsia"/>
        </w:rPr>
        <w:t>扑草净原药技术指标</w:t>
      </w:r>
    </w:p>
    <w:tbl>
      <w:tblPr>
        <w:tblStyle w:val="31"/>
        <w:tblW w:w="0" w:type="auto"/>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4643"/>
      </w:tblGrid>
      <w:tr w14:paraId="266B27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4820" w:type="dxa"/>
            <w:tcBorders>
              <w:top w:val="single" w:color="auto" w:sz="8" w:space="0"/>
            </w:tcBorders>
            <w:vAlign w:val="center"/>
          </w:tcPr>
          <w:p w14:paraId="7F79FAD0">
            <w:pPr>
              <w:jc w:val="center"/>
              <w:rPr>
                <w:rFonts w:ascii="宋体" w:hAnsi="宋体" w:cs="宋体"/>
                <w:sz w:val="18"/>
                <w:szCs w:val="18"/>
              </w:rPr>
            </w:pPr>
            <w:r>
              <w:rPr>
                <w:rFonts w:hint="eastAsia" w:ascii="宋体" w:hAnsi="宋体" w:cs="宋体"/>
                <w:sz w:val="18"/>
                <w:szCs w:val="18"/>
              </w:rPr>
              <w:t>项     目</w:t>
            </w:r>
          </w:p>
        </w:tc>
        <w:tc>
          <w:tcPr>
            <w:tcW w:w="4643" w:type="dxa"/>
            <w:tcBorders>
              <w:top w:val="single" w:color="auto" w:sz="8" w:space="0"/>
            </w:tcBorders>
            <w:vAlign w:val="center"/>
          </w:tcPr>
          <w:p w14:paraId="2736CDC4">
            <w:pPr>
              <w:jc w:val="center"/>
              <w:rPr>
                <w:rFonts w:ascii="宋体" w:hAnsi="宋体" w:cs="宋体"/>
                <w:sz w:val="18"/>
                <w:szCs w:val="18"/>
              </w:rPr>
            </w:pPr>
            <w:r>
              <w:rPr>
                <w:rFonts w:hint="eastAsia" w:ascii="宋体" w:hAnsi="宋体" w:cs="宋体"/>
                <w:sz w:val="18"/>
                <w:szCs w:val="18"/>
              </w:rPr>
              <w:t>指        标</w:t>
            </w:r>
          </w:p>
        </w:tc>
      </w:tr>
      <w:tr w14:paraId="587317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vAlign w:val="center"/>
          </w:tcPr>
          <w:p w14:paraId="203D09A2">
            <w:pPr>
              <w:pStyle w:val="23"/>
              <w:ind w:firstLine="0" w:firstLineChars="0"/>
              <w:rPr>
                <w:rFonts w:hAnsi="宋体" w:cs="宋体"/>
                <w:sz w:val="18"/>
                <w:szCs w:val="18"/>
              </w:rPr>
            </w:pPr>
            <w:r>
              <w:rPr>
                <w:rFonts w:hint="eastAsia" w:hAnsi="宋体" w:cs="宋体"/>
                <w:sz w:val="18"/>
                <w:szCs w:val="18"/>
              </w:rPr>
              <w:t xml:space="preserve">扑草净质量分数/%                         </w:t>
            </w:r>
          </w:p>
        </w:tc>
        <w:tc>
          <w:tcPr>
            <w:tcW w:w="4643" w:type="dxa"/>
            <w:vAlign w:val="center"/>
          </w:tcPr>
          <w:p w14:paraId="0DE994AB">
            <w:pPr>
              <w:pStyle w:val="23"/>
              <w:ind w:firstLine="0" w:firstLineChars="0"/>
              <w:jc w:val="center"/>
              <w:rPr>
                <w:rFonts w:hAnsi="宋体" w:cs="宋体"/>
                <w:sz w:val="18"/>
                <w:szCs w:val="18"/>
              </w:rPr>
            </w:pPr>
            <w:r>
              <w:rPr>
                <w:rFonts w:hint="eastAsia" w:hAnsi="宋体" w:cs="宋体"/>
                <w:sz w:val="18"/>
                <w:szCs w:val="18"/>
              </w:rPr>
              <w:t>≥97.0</w:t>
            </w:r>
          </w:p>
        </w:tc>
      </w:tr>
      <w:tr w14:paraId="17B41C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vAlign w:val="center"/>
          </w:tcPr>
          <w:p w14:paraId="375538B8">
            <w:pPr>
              <w:pStyle w:val="23"/>
              <w:ind w:firstLine="0" w:firstLineChars="0"/>
              <w:rPr>
                <w:rFonts w:hAnsi="宋体" w:cs="宋体"/>
                <w:sz w:val="18"/>
                <w:szCs w:val="18"/>
              </w:rPr>
            </w:pPr>
            <w:r>
              <w:rPr>
                <w:rFonts w:hint="eastAsia" w:hAnsi="宋体" w:cs="宋体"/>
                <w:sz w:val="18"/>
                <w:szCs w:val="18"/>
              </w:rPr>
              <w:t xml:space="preserve">扑灭津质量分数/% </w:t>
            </w:r>
          </w:p>
        </w:tc>
        <w:tc>
          <w:tcPr>
            <w:tcW w:w="4643" w:type="dxa"/>
            <w:vAlign w:val="center"/>
          </w:tcPr>
          <w:p w14:paraId="7DA8B76B">
            <w:pPr>
              <w:jc w:val="center"/>
              <w:rPr>
                <w:rFonts w:ascii="宋体" w:hAnsi="宋体" w:cs="宋体"/>
                <w:sz w:val="18"/>
                <w:szCs w:val="18"/>
              </w:rPr>
            </w:pPr>
            <w:r>
              <w:rPr>
                <w:rFonts w:hint="eastAsia" w:ascii="宋体" w:hAnsi="宋体" w:cs="宋体"/>
                <w:sz w:val="18"/>
                <w:szCs w:val="18"/>
              </w:rPr>
              <w:t>≤1.0</w:t>
            </w:r>
          </w:p>
        </w:tc>
      </w:tr>
      <w:tr w14:paraId="3E41A8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vAlign w:val="center"/>
          </w:tcPr>
          <w:p w14:paraId="4B79EA12">
            <w:pPr>
              <w:pStyle w:val="23"/>
              <w:ind w:firstLine="0" w:firstLineChars="0"/>
              <w:rPr>
                <w:rFonts w:hAnsi="宋体" w:cs="宋体"/>
                <w:sz w:val="18"/>
                <w:szCs w:val="18"/>
              </w:rPr>
            </w:pPr>
            <w:r>
              <w:rPr>
                <w:rFonts w:hint="eastAsia" w:hAnsi="宋体" w:cs="宋体"/>
                <w:sz w:val="18"/>
                <w:szCs w:val="18"/>
              </w:rPr>
              <w:t xml:space="preserve">莠灭净质量分数/% </w:t>
            </w:r>
          </w:p>
        </w:tc>
        <w:tc>
          <w:tcPr>
            <w:tcW w:w="4643" w:type="dxa"/>
            <w:vAlign w:val="center"/>
          </w:tcPr>
          <w:p w14:paraId="00165DD3">
            <w:pPr>
              <w:jc w:val="center"/>
              <w:rPr>
                <w:rFonts w:hint="default" w:ascii="宋体" w:hAnsi="宋体" w:eastAsia="宋体"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1.0</w:t>
            </w:r>
          </w:p>
        </w:tc>
      </w:tr>
      <w:tr w14:paraId="55B0CA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vAlign w:val="center"/>
          </w:tcPr>
          <w:p w14:paraId="7CDD88DB">
            <w:pPr>
              <w:pStyle w:val="23"/>
              <w:ind w:firstLine="0" w:firstLineChars="0"/>
              <w:rPr>
                <w:rFonts w:hAnsi="宋体" w:cs="宋体"/>
                <w:sz w:val="18"/>
                <w:szCs w:val="18"/>
              </w:rPr>
            </w:pPr>
            <w:r>
              <w:rPr>
                <w:rFonts w:hint="eastAsia" w:hAnsi="宋体" w:cs="宋体"/>
                <w:sz w:val="18"/>
                <w:szCs w:val="18"/>
              </w:rPr>
              <w:t xml:space="preserve">西草净质量分数/% </w:t>
            </w:r>
          </w:p>
        </w:tc>
        <w:tc>
          <w:tcPr>
            <w:tcW w:w="4643" w:type="dxa"/>
            <w:vAlign w:val="center"/>
          </w:tcPr>
          <w:p w14:paraId="75F371D6">
            <w:pPr>
              <w:jc w:val="center"/>
              <w:rPr>
                <w:rFonts w:hint="default" w:ascii="宋体" w:hAnsi="宋体" w:eastAsia="宋体"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1.0</w:t>
            </w:r>
          </w:p>
        </w:tc>
      </w:tr>
      <w:tr w14:paraId="7E5CE1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vAlign w:val="center"/>
          </w:tcPr>
          <w:p w14:paraId="3FC37AAB">
            <w:pPr>
              <w:pStyle w:val="23"/>
              <w:ind w:firstLine="0" w:firstLineChars="0"/>
              <w:rPr>
                <w:rFonts w:hint="eastAsia" w:hAnsi="宋体" w:cs="宋体"/>
                <w:sz w:val="18"/>
                <w:szCs w:val="18"/>
              </w:rPr>
            </w:pPr>
            <w:r>
              <w:rPr>
                <w:rFonts w:hint="eastAsia" w:hAnsi="宋体" w:cs="宋体"/>
                <w:sz w:val="18"/>
                <w:szCs w:val="18"/>
              </w:rPr>
              <w:t>扑灭津、莠灭净、西草净质量分数之和/%</w:t>
            </w:r>
          </w:p>
        </w:tc>
        <w:tc>
          <w:tcPr>
            <w:tcW w:w="4643" w:type="dxa"/>
            <w:vAlign w:val="center"/>
          </w:tcPr>
          <w:p w14:paraId="6CC21696">
            <w:pPr>
              <w:jc w:val="center"/>
              <w:rPr>
                <w:rFonts w:hint="default" w:ascii="宋体" w:hAnsi="宋体" w:eastAsia="宋体"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2.0</w:t>
            </w:r>
          </w:p>
        </w:tc>
      </w:tr>
      <w:tr w14:paraId="368E55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vAlign w:val="center"/>
          </w:tcPr>
          <w:p w14:paraId="0D499309">
            <w:pPr>
              <w:pStyle w:val="23"/>
              <w:ind w:firstLine="0" w:firstLineChars="0"/>
              <w:rPr>
                <w:rFonts w:hAnsi="宋体" w:cs="宋体"/>
                <w:sz w:val="18"/>
                <w:szCs w:val="18"/>
              </w:rPr>
            </w:pPr>
            <w:r>
              <w:rPr>
                <w:rFonts w:hint="eastAsia" w:hAnsi="宋体" w:cs="宋体"/>
                <w:sz w:val="18"/>
                <w:szCs w:val="18"/>
              </w:rPr>
              <w:t>氯化钠质量分数/%</w:t>
            </w:r>
          </w:p>
        </w:tc>
        <w:tc>
          <w:tcPr>
            <w:tcW w:w="4643" w:type="dxa"/>
            <w:vAlign w:val="center"/>
          </w:tcPr>
          <w:p w14:paraId="1C9F69B3">
            <w:pPr>
              <w:jc w:val="center"/>
              <w:rPr>
                <w:rFonts w:ascii="宋体" w:hAnsi="宋体" w:cs="宋体"/>
                <w:sz w:val="18"/>
                <w:szCs w:val="18"/>
              </w:rPr>
            </w:pPr>
            <w:r>
              <w:rPr>
                <w:rFonts w:hint="eastAsia" w:ascii="宋体" w:hAnsi="宋体" w:cs="宋体"/>
                <w:sz w:val="18"/>
                <w:szCs w:val="18"/>
              </w:rPr>
              <w:t>≤0.5</w:t>
            </w:r>
          </w:p>
        </w:tc>
      </w:tr>
      <w:tr w14:paraId="76BEBA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tcPr>
          <w:p w14:paraId="3E95E754">
            <w:pPr>
              <w:rPr>
                <w:rFonts w:ascii="宋体" w:hAnsi="宋体" w:cs="宋体"/>
                <w:sz w:val="18"/>
                <w:szCs w:val="18"/>
              </w:rPr>
            </w:pPr>
            <w:r>
              <w:rPr>
                <w:rFonts w:hint="eastAsia" w:ascii="宋体" w:hAnsi="宋体" w:cs="宋体"/>
                <w:sz w:val="18"/>
                <w:szCs w:val="18"/>
              </w:rPr>
              <w:t xml:space="preserve">水分/%                                  </w:t>
            </w:r>
          </w:p>
        </w:tc>
        <w:tc>
          <w:tcPr>
            <w:tcW w:w="4643" w:type="dxa"/>
          </w:tcPr>
          <w:p w14:paraId="559085DF">
            <w:pPr>
              <w:jc w:val="center"/>
              <w:rPr>
                <w:rFonts w:ascii="宋体" w:hAnsi="宋体" w:cs="宋体"/>
                <w:sz w:val="18"/>
                <w:szCs w:val="18"/>
              </w:rPr>
            </w:pPr>
            <w:r>
              <w:rPr>
                <w:rFonts w:hint="eastAsia" w:ascii="宋体" w:hAnsi="宋体" w:cs="宋体"/>
                <w:sz w:val="18"/>
                <w:szCs w:val="18"/>
              </w:rPr>
              <w:t>≤0.5</w:t>
            </w:r>
          </w:p>
        </w:tc>
      </w:tr>
      <w:tr w14:paraId="474BCC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vAlign w:val="center"/>
          </w:tcPr>
          <w:p w14:paraId="6B65381D">
            <w:pPr>
              <w:rPr>
                <w:rFonts w:ascii="宋体" w:hAnsi="宋体" w:cs="宋体"/>
                <w:color w:val="000000"/>
                <w:sz w:val="18"/>
                <w:szCs w:val="18"/>
              </w:rPr>
            </w:pPr>
            <w:bookmarkStart w:id="30" w:name="OLE_LINK2"/>
            <w:r>
              <w:rPr>
                <w:rFonts w:hint="eastAsia" w:ascii="宋体" w:hAnsi="宋体" w:cs="宋体"/>
                <w:i/>
                <w:iCs/>
                <w:sz w:val="18"/>
                <w:szCs w:val="18"/>
              </w:rPr>
              <w:t>N</w:t>
            </w:r>
            <w:r>
              <w:rPr>
                <w:rFonts w:hint="eastAsia" w:ascii="宋体" w:hAnsi="宋体" w:cs="宋体"/>
                <w:sz w:val="18"/>
                <w:szCs w:val="18"/>
              </w:rPr>
              <w:t>,</w:t>
            </w:r>
            <w:r>
              <w:rPr>
                <w:rFonts w:hint="eastAsia" w:ascii="宋体" w:hAnsi="宋体" w:cs="宋体"/>
                <w:i/>
                <w:iCs/>
                <w:sz w:val="18"/>
                <w:szCs w:val="18"/>
              </w:rPr>
              <w:t>N</w:t>
            </w:r>
            <w:r>
              <w:rPr>
                <w:rFonts w:hint="eastAsia" w:ascii="宋体" w:hAnsi="宋体" w:cs="宋体"/>
                <w:sz w:val="18"/>
                <w:szCs w:val="18"/>
              </w:rPr>
              <w:t>-二甲基甲酰胺</w:t>
            </w:r>
            <w:r>
              <w:rPr>
                <w:rFonts w:hint="eastAsia" w:ascii="宋体" w:hAnsi="宋体" w:cs="宋体"/>
                <w:color w:val="000000"/>
                <w:sz w:val="18"/>
                <w:szCs w:val="18"/>
              </w:rPr>
              <w:t>不溶物</w:t>
            </w:r>
            <w:bookmarkEnd w:id="30"/>
            <w:r>
              <w:rPr>
                <w:rFonts w:hint="eastAsia" w:ascii="宋体" w:hAnsi="宋体" w:cs="宋体"/>
                <w:color w:val="000000"/>
                <w:sz w:val="18"/>
                <w:szCs w:val="18"/>
              </w:rPr>
              <w:t>/%</w:t>
            </w:r>
          </w:p>
        </w:tc>
        <w:tc>
          <w:tcPr>
            <w:tcW w:w="4643" w:type="dxa"/>
            <w:vAlign w:val="center"/>
          </w:tcPr>
          <w:p w14:paraId="088CC6BF">
            <w:pPr>
              <w:jc w:val="center"/>
              <w:rPr>
                <w:rFonts w:ascii="宋体" w:hAnsi="宋体" w:cs="宋体"/>
                <w:sz w:val="18"/>
                <w:szCs w:val="18"/>
              </w:rPr>
            </w:pPr>
            <w:r>
              <w:rPr>
                <w:rFonts w:hint="eastAsia" w:ascii="宋体" w:hAnsi="宋体" w:cs="宋体"/>
                <w:sz w:val="18"/>
                <w:szCs w:val="18"/>
              </w:rPr>
              <w:t>≤0.5</w:t>
            </w:r>
          </w:p>
        </w:tc>
      </w:tr>
      <w:tr w14:paraId="4256AF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820" w:type="dxa"/>
            <w:vAlign w:val="center"/>
          </w:tcPr>
          <w:p w14:paraId="51D61FC9">
            <w:pPr>
              <w:rPr>
                <w:rFonts w:ascii="宋体" w:hAnsi="宋体" w:cs="宋体"/>
                <w:i/>
                <w:iCs/>
                <w:sz w:val="18"/>
                <w:szCs w:val="18"/>
              </w:rPr>
            </w:pPr>
            <w:r>
              <w:rPr>
                <w:rFonts w:hint="eastAsia" w:ascii="宋体" w:hAnsi="宋体" w:cs="宋体"/>
                <w:sz w:val="18"/>
                <w:szCs w:val="18"/>
              </w:rPr>
              <w:t>pH值</w:t>
            </w:r>
          </w:p>
        </w:tc>
        <w:tc>
          <w:tcPr>
            <w:tcW w:w="4643" w:type="dxa"/>
            <w:vAlign w:val="center"/>
          </w:tcPr>
          <w:p w14:paraId="15D6CFD4">
            <w:pPr>
              <w:jc w:val="center"/>
              <w:rPr>
                <w:rFonts w:hint="default" w:ascii="宋体" w:hAnsi="宋体" w:eastAsia="黑体" w:cs="宋体"/>
                <w:sz w:val="18"/>
                <w:szCs w:val="18"/>
                <w:lang w:val="en-US" w:eastAsia="zh-CN"/>
              </w:rPr>
            </w:pPr>
            <w:r>
              <w:rPr>
                <w:rFonts w:hint="eastAsia" w:ascii="宋体" w:hAnsi="宋体" w:cs="宋体"/>
                <w:sz w:val="18"/>
                <w:szCs w:val="18"/>
                <w:lang w:val="en-US" w:eastAsia="zh-CN"/>
              </w:rPr>
              <w:t>6</w:t>
            </w:r>
            <w:r>
              <w:rPr>
                <w:rFonts w:hint="eastAsia" w:ascii="宋体" w:hAnsi="宋体" w:cs="宋体"/>
                <w:sz w:val="18"/>
                <w:szCs w:val="18"/>
              </w:rPr>
              <w:t>.0</w:t>
            </w:r>
            <w:r>
              <w:rPr>
                <w:rFonts w:eastAsia="黑体"/>
                <w:sz w:val="18"/>
                <w:szCs w:val="18"/>
              </w:rPr>
              <w:t>~</w:t>
            </w:r>
            <w:r>
              <w:rPr>
                <w:rFonts w:hint="eastAsia" w:ascii="宋体" w:hAnsi="宋体" w:eastAsia="黑体" w:cs="宋体"/>
                <w:sz w:val="18"/>
                <w:szCs w:val="18"/>
                <w:lang w:val="en-US" w:eastAsia="zh-CN"/>
              </w:rPr>
              <w:t>9.0</w:t>
            </w:r>
          </w:p>
        </w:tc>
      </w:tr>
    </w:tbl>
    <w:p w14:paraId="5C15F598">
      <w:pPr>
        <w:pStyle w:val="53"/>
        <w:numPr>
          <w:ilvl w:val="0"/>
          <w:numId w:val="21"/>
        </w:numPr>
        <w:snapToGrid w:val="0"/>
        <w:spacing w:before="312" w:after="312"/>
        <w:rPr>
          <w:szCs w:val="21"/>
        </w:rPr>
      </w:pPr>
      <w:bookmarkStart w:id="31" w:name="_Toc440293246"/>
      <w:bookmarkStart w:id="32" w:name="_Toc458086738"/>
      <w:bookmarkStart w:id="33" w:name="_Toc457491875"/>
      <w:r>
        <w:rPr>
          <w:rFonts w:hint="eastAsia"/>
          <w:szCs w:val="21"/>
        </w:rPr>
        <w:t>试验方法</w:t>
      </w:r>
      <w:bookmarkEnd w:id="31"/>
      <w:bookmarkEnd w:id="32"/>
      <w:bookmarkEnd w:id="33"/>
    </w:p>
    <w:p w14:paraId="2B3E1BA6">
      <w:pPr>
        <w:pStyle w:val="23"/>
        <w:rPr>
          <w:rFonts w:ascii="黑体" w:hAnsi="黑体" w:eastAsia="黑体"/>
          <w:sz w:val="21"/>
          <w:szCs w:val="21"/>
        </w:rPr>
      </w:pPr>
      <w:r>
        <w:rPr>
          <w:rFonts w:hint="eastAsia" w:ascii="黑体" w:hAnsi="黑体" w:eastAsia="黑体"/>
          <w:sz w:val="21"/>
          <w:szCs w:val="21"/>
        </w:rPr>
        <w:t>警告：使用本文件的人员应有实验室工作的实践经验。本文件并未指出所有的安全问题。使用者有责任采取适当的安全和健康措施。</w:t>
      </w:r>
    </w:p>
    <w:p w14:paraId="185FE5C2">
      <w:pPr>
        <w:pStyle w:val="49"/>
        <w:spacing w:before="156" w:after="156"/>
        <w:rPr>
          <w:sz w:val="21"/>
          <w:szCs w:val="21"/>
        </w:rPr>
      </w:pPr>
      <w:bookmarkStart w:id="34" w:name="_Toc440293247"/>
      <w:bookmarkStart w:id="35" w:name="_Toc457491876"/>
      <w:bookmarkStart w:id="36" w:name="_Toc458086739"/>
      <w:r>
        <w:rPr>
          <w:rFonts w:hint="eastAsia"/>
          <w:sz w:val="21"/>
          <w:szCs w:val="21"/>
        </w:rPr>
        <w:t>一般规定</w:t>
      </w:r>
      <w:bookmarkEnd w:id="34"/>
      <w:bookmarkEnd w:id="35"/>
      <w:bookmarkEnd w:id="36"/>
    </w:p>
    <w:p w14:paraId="153F55C3">
      <w:pPr>
        <w:pStyle w:val="23"/>
        <w:rPr>
          <w:sz w:val="21"/>
          <w:szCs w:val="21"/>
        </w:rPr>
      </w:pPr>
      <w:r>
        <w:rPr>
          <w:rFonts w:hint="eastAsia"/>
          <w:sz w:val="21"/>
          <w:szCs w:val="21"/>
        </w:rPr>
        <w:t>本文件所用试剂和水在没有注明其他要求时，均指分析纯试剂和蒸馏水。</w:t>
      </w:r>
    </w:p>
    <w:p w14:paraId="6F88F0F6">
      <w:pPr>
        <w:pStyle w:val="49"/>
        <w:spacing w:before="156" w:after="156"/>
        <w:rPr>
          <w:sz w:val="21"/>
          <w:szCs w:val="21"/>
        </w:rPr>
      </w:pPr>
      <w:bookmarkStart w:id="37" w:name="_Toc440293248"/>
      <w:bookmarkStart w:id="38" w:name="_Toc458086740"/>
      <w:bookmarkStart w:id="39" w:name="_Toc457491877"/>
      <w:r>
        <w:rPr>
          <w:rFonts w:hint="eastAsia"/>
          <w:sz w:val="21"/>
          <w:szCs w:val="21"/>
        </w:rPr>
        <w:t>取样</w:t>
      </w:r>
      <w:bookmarkEnd w:id="37"/>
      <w:bookmarkEnd w:id="38"/>
      <w:bookmarkEnd w:id="39"/>
    </w:p>
    <w:p w14:paraId="2F5F286F">
      <w:pPr>
        <w:pStyle w:val="23"/>
        <w:rPr>
          <w:sz w:val="21"/>
          <w:szCs w:val="21"/>
        </w:rPr>
      </w:pPr>
      <w:r>
        <w:rPr>
          <w:rFonts w:hint="eastAsia" w:hAnsi="宋体"/>
          <w:sz w:val="21"/>
          <w:szCs w:val="21"/>
        </w:rPr>
        <w:t>按</w:t>
      </w:r>
      <w:r>
        <w:rPr>
          <w:rFonts w:hAnsi="宋体"/>
          <w:sz w:val="21"/>
          <w:szCs w:val="21"/>
        </w:rPr>
        <w:t xml:space="preserve"> GB/T 1605—2001</w:t>
      </w:r>
      <w:r>
        <w:rPr>
          <w:rFonts w:hint="eastAsia" w:hAnsi="宋体"/>
          <w:sz w:val="21"/>
          <w:szCs w:val="21"/>
        </w:rPr>
        <w:t>中</w:t>
      </w:r>
      <w:r>
        <w:rPr>
          <w:rFonts w:hAnsi="宋体"/>
          <w:sz w:val="21"/>
          <w:szCs w:val="21"/>
        </w:rPr>
        <w:t>5.3.1</w:t>
      </w:r>
      <w:r>
        <w:rPr>
          <w:rFonts w:hint="eastAsia" w:hAnsi="宋体"/>
          <w:sz w:val="21"/>
          <w:szCs w:val="21"/>
        </w:rPr>
        <w:t>进行。用随机数表法确定抽样的包装件，最终取样量应不少于</w:t>
      </w:r>
      <w:r>
        <w:rPr>
          <w:rFonts w:hAnsi="宋体"/>
          <w:sz w:val="21"/>
          <w:szCs w:val="21"/>
        </w:rPr>
        <w:t>100 g</w:t>
      </w:r>
      <w:r>
        <w:rPr>
          <w:rFonts w:hint="eastAsia" w:hAnsi="宋体"/>
          <w:sz w:val="21"/>
          <w:szCs w:val="21"/>
        </w:rPr>
        <w:t>。</w:t>
      </w:r>
    </w:p>
    <w:p w14:paraId="66A54BF6">
      <w:pPr>
        <w:pStyle w:val="49"/>
        <w:spacing w:before="156" w:after="156"/>
        <w:rPr>
          <w:sz w:val="21"/>
          <w:szCs w:val="21"/>
        </w:rPr>
      </w:pPr>
      <w:bookmarkStart w:id="40" w:name="_Toc458086741"/>
      <w:bookmarkStart w:id="41" w:name="_Toc440293249"/>
      <w:bookmarkStart w:id="42" w:name="_Toc457491878"/>
      <w:r>
        <w:rPr>
          <w:rFonts w:hint="eastAsia"/>
          <w:sz w:val="21"/>
          <w:szCs w:val="21"/>
        </w:rPr>
        <w:t>鉴别试验</w:t>
      </w:r>
      <w:bookmarkEnd w:id="40"/>
      <w:bookmarkEnd w:id="41"/>
      <w:bookmarkEnd w:id="42"/>
    </w:p>
    <w:p w14:paraId="61226875">
      <w:pPr>
        <w:pStyle w:val="54"/>
        <w:spacing w:before="156" w:after="156"/>
        <w:rPr>
          <w:sz w:val="21"/>
          <w:szCs w:val="21"/>
        </w:rPr>
      </w:pPr>
      <w:bookmarkStart w:id="43" w:name="OLE_LINK4"/>
      <w:r>
        <w:rPr>
          <w:rFonts w:hint="eastAsia"/>
          <w:sz w:val="21"/>
          <w:szCs w:val="21"/>
        </w:rPr>
        <w:t>红外光谱法</w:t>
      </w:r>
    </w:p>
    <w:p w14:paraId="4439127B">
      <w:pPr>
        <w:pStyle w:val="23"/>
        <w:jc w:val="left"/>
        <w:rPr>
          <w:rFonts w:hAnsi="宋体"/>
          <w:sz w:val="21"/>
          <w:szCs w:val="21"/>
        </w:rPr>
      </w:pPr>
      <w:r>
        <w:rPr>
          <w:rFonts w:hint="eastAsia" w:hAnsi="宋体"/>
          <w:sz w:val="21"/>
          <w:szCs w:val="21"/>
        </w:rPr>
        <w:t>扑草净原药与扑草净标样在4000 cm</w:t>
      </w:r>
      <w:r>
        <w:rPr>
          <w:rFonts w:hint="eastAsia" w:hAnsi="宋体"/>
          <w:sz w:val="21"/>
          <w:szCs w:val="21"/>
          <w:vertAlign w:val="superscript"/>
        </w:rPr>
        <w:t>-1</w:t>
      </w:r>
      <w:r>
        <w:rPr>
          <w:rFonts w:hint="eastAsia" w:hAnsi="宋体"/>
          <w:sz w:val="21"/>
          <w:szCs w:val="21"/>
        </w:rPr>
        <w:t>～400 cm</w:t>
      </w:r>
      <w:r>
        <w:rPr>
          <w:rFonts w:hint="eastAsia" w:hAnsi="宋体"/>
          <w:sz w:val="21"/>
          <w:szCs w:val="21"/>
          <w:vertAlign w:val="superscript"/>
        </w:rPr>
        <w:t>-1</w:t>
      </w:r>
      <w:r>
        <w:rPr>
          <w:rFonts w:hint="eastAsia" w:hAnsi="宋体"/>
          <w:sz w:val="21"/>
          <w:szCs w:val="21"/>
        </w:rPr>
        <w:t>范围的红外吸收光谱图应没有明显区别。扑草净标样红外光谱图见图1。</w:t>
      </w:r>
    </w:p>
    <w:p w14:paraId="0C6F5490">
      <w:pPr>
        <w:pStyle w:val="23"/>
        <w:widowControl w:val="0"/>
        <w:ind w:firstLine="0" w:firstLineChars="0"/>
        <w:jc w:val="center"/>
      </w:pPr>
      <w:r>
        <w:drawing>
          <wp:inline distT="0" distB="0" distL="114300" distR="114300">
            <wp:extent cx="5935345" cy="2919730"/>
            <wp:effectExtent l="0" t="0" r="8255" b="1270"/>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pic:cNvPicPr>
                      <a:picLocks noChangeAspect="1"/>
                    </pic:cNvPicPr>
                  </pic:nvPicPr>
                  <pic:blipFill>
                    <a:blip r:embed="rId11"/>
                    <a:stretch>
                      <a:fillRect/>
                    </a:stretch>
                  </pic:blipFill>
                  <pic:spPr>
                    <a:xfrm>
                      <a:off x="0" y="0"/>
                      <a:ext cx="5935345" cy="2919730"/>
                    </a:xfrm>
                    <a:prstGeom prst="rect">
                      <a:avLst/>
                    </a:prstGeom>
                    <a:noFill/>
                    <a:ln>
                      <a:noFill/>
                    </a:ln>
                  </pic:spPr>
                </pic:pic>
              </a:graphicData>
            </a:graphic>
          </wp:inline>
        </w:drawing>
      </w:r>
    </w:p>
    <w:p w14:paraId="5844F810">
      <w:pPr>
        <w:pStyle w:val="23"/>
        <w:widowControl w:val="0"/>
        <w:tabs>
          <w:tab w:val="clear" w:pos="4201"/>
        </w:tabs>
        <w:ind w:firstLine="0" w:firstLineChars="0"/>
        <w:jc w:val="center"/>
      </w:pPr>
      <w:r>
        <w:rPr>
          <w:rFonts w:hint="eastAsia"/>
          <w:sz w:val="13"/>
          <w:szCs w:val="13"/>
        </w:rPr>
        <w:t xml:space="preserve">                                                                                                                  </w:t>
      </w:r>
    </w:p>
    <w:p w14:paraId="4E20C893">
      <w:pPr>
        <w:pStyle w:val="136"/>
        <w:spacing w:before="156" w:after="156"/>
        <w:ind w:firstLine="840"/>
        <w:rPr>
          <w:szCs w:val="21"/>
        </w:rPr>
      </w:pPr>
      <w:r>
        <w:rPr>
          <w:rFonts w:hint="eastAsia"/>
          <w:szCs w:val="21"/>
        </w:rPr>
        <w:t>扑草净标样的红外光谱图</w:t>
      </w:r>
    </w:p>
    <w:p w14:paraId="33720DB5">
      <w:pPr>
        <w:pStyle w:val="54"/>
        <w:spacing w:before="156" w:after="156"/>
        <w:rPr>
          <w:sz w:val="21"/>
          <w:szCs w:val="21"/>
        </w:rPr>
      </w:pPr>
      <w:bookmarkStart w:id="44" w:name="_Hlk55341506"/>
      <w:bookmarkStart w:id="45" w:name="_Toc457491880"/>
      <w:bookmarkStart w:id="46" w:name="_Toc440293250"/>
      <w:bookmarkStart w:id="47" w:name="_Toc458086742"/>
      <w:r>
        <w:rPr>
          <w:rFonts w:hint="eastAsia"/>
          <w:sz w:val="21"/>
          <w:szCs w:val="21"/>
        </w:rPr>
        <w:t>气相色谱法</w:t>
      </w:r>
    </w:p>
    <w:p w14:paraId="655F3E9F">
      <w:pPr>
        <w:pStyle w:val="23"/>
        <w:rPr>
          <w:sz w:val="21"/>
          <w:szCs w:val="21"/>
        </w:rPr>
      </w:pPr>
      <w:r>
        <w:rPr>
          <w:rFonts w:hint="eastAsia"/>
          <w:sz w:val="21"/>
          <w:szCs w:val="21"/>
        </w:rPr>
        <w:t>本鉴别试验可与扑草净质量分数的测定同时进行。在相同的色谱操作条件下，试样溶液中某色谱峰的保留时间与标样溶液中扑草净的色谱峰的保留时间，其相对差值应在</w:t>
      </w:r>
      <w:r>
        <w:rPr>
          <w:sz w:val="21"/>
          <w:szCs w:val="21"/>
        </w:rPr>
        <w:t>1.5</w:t>
      </w:r>
      <w:r>
        <w:rPr>
          <w:rFonts w:hint="eastAsia"/>
          <w:sz w:val="21"/>
          <w:szCs w:val="21"/>
        </w:rPr>
        <w:t>%以内。</w:t>
      </w:r>
      <w:bookmarkEnd w:id="44"/>
    </w:p>
    <w:p w14:paraId="36373CA1">
      <w:pPr>
        <w:pStyle w:val="54"/>
        <w:spacing w:before="156" w:after="156"/>
        <w:rPr>
          <w:sz w:val="21"/>
          <w:szCs w:val="21"/>
        </w:rPr>
      </w:pPr>
      <w:r>
        <w:rPr>
          <w:rFonts w:hint="eastAsia"/>
          <w:sz w:val="21"/>
          <w:szCs w:val="21"/>
        </w:rPr>
        <w:t>高效液相色谱法</w:t>
      </w:r>
    </w:p>
    <w:p w14:paraId="722DF811">
      <w:pPr>
        <w:pStyle w:val="23"/>
        <w:rPr>
          <w:rFonts w:hAnsi="宋体"/>
          <w:sz w:val="21"/>
          <w:szCs w:val="21"/>
        </w:rPr>
      </w:pPr>
      <w:r>
        <w:rPr>
          <w:rFonts w:hint="eastAsia" w:hAnsi="宋体"/>
          <w:sz w:val="21"/>
          <w:szCs w:val="21"/>
        </w:rPr>
        <w:t>本鉴别试验可与</w:t>
      </w:r>
      <w:r>
        <w:rPr>
          <w:rFonts w:hint="eastAsia"/>
          <w:sz w:val="21"/>
          <w:szCs w:val="21"/>
        </w:rPr>
        <w:t>扑草净</w:t>
      </w:r>
      <w:r>
        <w:rPr>
          <w:rFonts w:hint="eastAsia" w:hAnsi="宋体"/>
          <w:sz w:val="21"/>
          <w:szCs w:val="21"/>
        </w:rPr>
        <w:t>质量分数的测定同时进行。在相同的色谱操作条件下，试样溶液中某色谱峰的保留时间与标样溶液中</w:t>
      </w:r>
      <w:r>
        <w:rPr>
          <w:rFonts w:hint="eastAsia"/>
          <w:sz w:val="21"/>
          <w:szCs w:val="21"/>
        </w:rPr>
        <w:t>扑草净</w:t>
      </w:r>
      <w:r>
        <w:rPr>
          <w:rFonts w:hint="eastAsia" w:hAnsi="宋体"/>
          <w:sz w:val="21"/>
          <w:szCs w:val="21"/>
        </w:rPr>
        <w:t>的色谱峰的保留时间，其相对差应在1.5%以内。</w:t>
      </w:r>
    </w:p>
    <w:p w14:paraId="6D83D33E">
      <w:pPr>
        <w:pStyle w:val="49"/>
        <w:spacing w:before="156" w:after="156"/>
        <w:rPr>
          <w:sz w:val="21"/>
          <w:szCs w:val="21"/>
        </w:rPr>
      </w:pPr>
      <w:r>
        <w:rPr>
          <w:rFonts w:hint="eastAsia"/>
          <w:sz w:val="21"/>
          <w:szCs w:val="21"/>
        </w:rPr>
        <w:t>外观</w:t>
      </w:r>
    </w:p>
    <w:p w14:paraId="455E85A7">
      <w:pPr>
        <w:pStyle w:val="23"/>
        <w:rPr>
          <w:rFonts w:hAnsi="宋体"/>
          <w:sz w:val="21"/>
          <w:szCs w:val="21"/>
        </w:rPr>
      </w:pPr>
      <w:r>
        <w:rPr>
          <w:rFonts w:hint="eastAsia" w:hAnsi="宋体"/>
          <w:sz w:val="21"/>
          <w:szCs w:val="21"/>
        </w:rPr>
        <w:t>采用目测法测定。</w:t>
      </w:r>
    </w:p>
    <w:p w14:paraId="7D466D44">
      <w:pPr>
        <w:pStyle w:val="49"/>
        <w:spacing w:before="156" w:after="156"/>
        <w:rPr>
          <w:sz w:val="21"/>
          <w:szCs w:val="21"/>
        </w:rPr>
      </w:pPr>
      <w:r>
        <w:rPr>
          <w:rFonts w:hint="eastAsia"/>
          <w:sz w:val="21"/>
          <w:szCs w:val="21"/>
        </w:rPr>
        <w:t>扑草净质量分数</w:t>
      </w:r>
      <w:bookmarkEnd w:id="45"/>
      <w:bookmarkEnd w:id="46"/>
      <w:bookmarkEnd w:id="47"/>
    </w:p>
    <w:bookmarkEnd w:id="43"/>
    <w:p w14:paraId="1A35012B">
      <w:pPr>
        <w:pStyle w:val="8"/>
        <w:ind w:left="0"/>
        <w:rPr>
          <w:rFonts w:ascii="黑体" w:hAnsi="黑体" w:eastAsia="黑体"/>
          <w:sz w:val="21"/>
          <w:szCs w:val="21"/>
        </w:rPr>
      </w:pPr>
      <w:bookmarkStart w:id="48" w:name="OLE_LINK3"/>
      <w:bookmarkStart w:id="49" w:name="OLE_LINK5"/>
      <w:r>
        <w:rPr>
          <w:rFonts w:hint="eastAsia" w:ascii="黑体" w:hAnsi="黑体" w:eastAsia="黑体"/>
          <w:sz w:val="21"/>
          <w:szCs w:val="21"/>
        </w:rPr>
        <w:t>气相色谱法（仲裁法）</w:t>
      </w:r>
    </w:p>
    <w:p w14:paraId="09E8F33F">
      <w:pPr>
        <w:pStyle w:val="10"/>
        <w:spacing w:beforeLines="50" w:afterLines="50"/>
        <w:rPr>
          <w:rFonts w:ascii="黑体" w:hAnsi="黑体" w:eastAsia="黑体"/>
        </w:rPr>
      </w:pPr>
      <w:r>
        <w:rPr>
          <w:rFonts w:hint="eastAsia" w:ascii="黑体" w:hAnsi="黑体" w:eastAsia="黑体"/>
        </w:rPr>
        <w:t>方法提要</w:t>
      </w:r>
    </w:p>
    <w:p w14:paraId="357A151A">
      <w:pPr>
        <w:pStyle w:val="23"/>
        <w:rPr>
          <w:rFonts w:hAnsi="宋体"/>
          <w:sz w:val="21"/>
          <w:szCs w:val="21"/>
        </w:rPr>
      </w:pPr>
      <w:r>
        <w:rPr>
          <w:rFonts w:hint="eastAsia"/>
          <w:sz w:val="21"/>
          <w:szCs w:val="21"/>
        </w:rPr>
        <w:t>试</w:t>
      </w:r>
      <w:bookmarkStart w:id="50" w:name="OLE_LINK6"/>
      <w:bookmarkStart w:id="51" w:name="OLE_LINK7"/>
      <w:r>
        <w:rPr>
          <w:rFonts w:hint="eastAsia"/>
          <w:sz w:val="21"/>
          <w:szCs w:val="21"/>
        </w:rPr>
        <w:t>样用三氯甲烷溶解，以邻苯二甲酸二正己酯为内标物，使用内壁键合聚乙二醇的毛细管色谱柱和氢火焰离子化检测器，对试样中的</w:t>
      </w:r>
      <w:r>
        <w:rPr>
          <w:rFonts w:hint="eastAsia" w:hAnsi="宋体"/>
          <w:sz w:val="21"/>
          <w:szCs w:val="21"/>
        </w:rPr>
        <w:t>扑草净</w:t>
      </w:r>
      <w:r>
        <w:rPr>
          <w:rFonts w:hint="eastAsia"/>
          <w:sz w:val="21"/>
          <w:szCs w:val="21"/>
        </w:rPr>
        <w:t>进行气相色谱分离，内标法定量</w:t>
      </w:r>
      <w:r>
        <w:rPr>
          <w:rFonts w:hint="eastAsia" w:hAnsi="宋体"/>
          <w:sz w:val="21"/>
          <w:szCs w:val="21"/>
        </w:rPr>
        <w:t>。</w:t>
      </w:r>
      <w:bookmarkEnd w:id="50"/>
      <w:bookmarkEnd w:id="51"/>
    </w:p>
    <w:p w14:paraId="6DF45AEC">
      <w:pPr>
        <w:pStyle w:val="10"/>
        <w:spacing w:beforeLines="50" w:afterLines="50"/>
        <w:rPr>
          <w:rFonts w:ascii="黑体" w:hAnsi="黑体" w:eastAsia="黑体"/>
        </w:rPr>
      </w:pPr>
      <w:bookmarkStart w:id="52" w:name="OLE_LINK8"/>
      <w:bookmarkStart w:id="53" w:name="OLE_LINK9"/>
      <w:r>
        <w:rPr>
          <w:rFonts w:hint="eastAsia" w:ascii="黑体" w:hAnsi="黑体" w:eastAsia="黑体"/>
        </w:rPr>
        <w:t>试</w:t>
      </w:r>
      <w:bookmarkStart w:id="54" w:name="OLE_LINK11"/>
      <w:bookmarkStart w:id="55" w:name="OLE_LINK10"/>
      <w:r>
        <w:rPr>
          <w:rFonts w:hint="eastAsia" w:ascii="黑体" w:hAnsi="黑体" w:eastAsia="黑体"/>
        </w:rPr>
        <w:t>剂和溶液</w:t>
      </w:r>
    </w:p>
    <w:p w14:paraId="7EFD24E9">
      <w:pPr>
        <w:pStyle w:val="11"/>
        <w:spacing w:beforeLines="50" w:afterLines="50"/>
        <w:ind w:left="0"/>
      </w:pPr>
      <w:r>
        <w:rPr>
          <w:rFonts w:hint="eastAsia"/>
        </w:rPr>
        <w:t>三氯甲烷。</w:t>
      </w:r>
    </w:p>
    <w:p w14:paraId="2A31D6E7">
      <w:pPr>
        <w:pStyle w:val="11"/>
        <w:spacing w:beforeLines="50" w:afterLines="50"/>
        <w:ind w:left="0"/>
      </w:pPr>
      <w:r>
        <w:rPr>
          <w:rFonts w:hint="eastAsia"/>
        </w:rPr>
        <w:t>内标物：邻苯二甲酸二正己酯，应没有干扰分析的杂质。</w:t>
      </w:r>
    </w:p>
    <w:p w14:paraId="23B62572">
      <w:pPr>
        <w:pStyle w:val="11"/>
        <w:spacing w:beforeLines="50" w:afterLines="50"/>
        <w:ind w:left="0"/>
      </w:pPr>
      <w:r>
        <w:rPr>
          <w:rFonts w:hint="eastAsia"/>
        </w:rPr>
        <w:t>内标溶液A：称取2.5 g的邻苯二甲酸二正己酯于500 mL的容量瓶中，用三氯甲烷溶解并稀释至刻度，摇匀。</w:t>
      </w:r>
    </w:p>
    <w:p w14:paraId="3FF68B43">
      <w:pPr>
        <w:pStyle w:val="11"/>
        <w:spacing w:beforeLines="50" w:afterLines="50"/>
        <w:ind w:left="0"/>
      </w:pPr>
      <w:r>
        <w:rPr>
          <w:rFonts w:hint="eastAsia"/>
        </w:rPr>
        <w:t>扑草净标样：</w:t>
      </w:r>
      <w:bookmarkStart w:id="56" w:name="OLE_LINK13"/>
      <w:bookmarkStart w:id="57" w:name="OLE_LINK14"/>
      <w:r>
        <w:rPr>
          <w:rFonts w:hint="eastAsia"/>
        </w:rPr>
        <w:t>已知扑草净质量分数且不低于98.0%。</w:t>
      </w:r>
      <w:bookmarkEnd w:id="56"/>
      <w:bookmarkEnd w:id="57"/>
    </w:p>
    <w:p w14:paraId="68CD6EFE">
      <w:pPr>
        <w:pStyle w:val="10"/>
        <w:spacing w:beforeLines="50" w:afterLines="50"/>
        <w:rPr>
          <w:rFonts w:ascii="黑体" w:hAnsi="黑体" w:eastAsia="黑体"/>
        </w:rPr>
      </w:pPr>
      <w:r>
        <w:rPr>
          <w:rFonts w:hint="eastAsia" w:ascii="黑体" w:hAnsi="黑体" w:eastAsia="黑体"/>
        </w:rPr>
        <w:t>仪器</w:t>
      </w:r>
    </w:p>
    <w:p w14:paraId="72D3CFAE">
      <w:pPr>
        <w:pStyle w:val="11"/>
        <w:spacing w:beforeLines="50" w:afterLines="50"/>
        <w:ind w:left="0"/>
      </w:pPr>
      <w:r>
        <w:rPr>
          <w:rFonts w:hint="eastAsia"/>
        </w:rPr>
        <w:t>气相色谱仪：具有氢火焰离子化检测器。</w:t>
      </w:r>
    </w:p>
    <w:p w14:paraId="1721E6B8">
      <w:pPr>
        <w:pStyle w:val="11"/>
        <w:spacing w:beforeLines="50" w:afterLines="50"/>
        <w:ind w:left="0"/>
      </w:pPr>
      <w:r>
        <w:rPr>
          <w:rFonts w:hint="eastAsia"/>
        </w:rPr>
        <w:t>色谱数据处理机或工作站。</w:t>
      </w:r>
    </w:p>
    <w:p w14:paraId="1D74A728">
      <w:pPr>
        <w:pStyle w:val="11"/>
        <w:spacing w:beforeLines="50" w:afterLines="50"/>
        <w:ind w:left="0"/>
        <w:rPr>
          <w:rFonts w:hint="eastAsia"/>
        </w:rPr>
      </w:pPr>
      <w:r>
        <w:rPr>
          <w:rFonts w:hint="eastAsia"/>
        </w:rPr>
        <w:t xml:space="preserve">色谱柱：15 m </w:t>
      </w:r>
      <w:r>
        <w:rPr>
          <w:rFonts w:ascii="Times New Roman"/>
        </w:rPr>
        <w:t>×</w:t>
      </w:r>
      <w:r>
        <w:rPr>
          <w:rFonts w:hint="eastAsia" w:ascii="Times New Roman"/>
        </w:rPr>
        <w:t xml:space="preserve"> </w:t>
      </w:r>
      <w:r>
        <w:rPr>
          <w:rFonts w:hint="eastAsia"/>
        </w:rPr>
        <w:t>0.32 mm(内径)毛细管柱，内壁键合聚乙二醇20M</w:t>
      </w:r>
      <w:r>
        <w:rPr>
          <w:rFonts w:hint="eastAsia" w:hAnsi="宋体" w:cs="宋体"/>
        </w:rPr>
        <w:t xml:space="preserve">固定液，膜厚0.25 </w:t>
      </w:r>
      <w:r>
        <w:rPr>
          <w:rFonts w:ascii="Times New Roman"/>
        </w:rPr>
        <w:t>μ</w:t>
      </w:r>
      <w:r>
        <w:rPr>
          <w:rFonts w:hint="eastAsia" w:hAnsi="宋体" w:cs="宋体"/>
        </w:rPr>
        <w:t>m</w:t>
      </w:r>
      <w:r>
        <w:rPr>
          <w:rFonts w:hint="eastAsia"/>
        </w:rPr>
        <w:t>(或具同等效果的色谱柱)。</w:t>
      </w:r>
    </w:p>
    <w:p w14:paraId="4C88A41A">
      <w:pPr>
        <w:pStyle w:val="11"/>
        <w:spacing w:beforeLines="50" w:afterLines="50"/>
        <w:ind w:left="0"/>
      </w:pPr>
      <w:r>
        <w:rPr>
          <w:rFonts w:hint="eastAsia"/>
        </w:rPr>
        <w:t>微量进样器：10</w:t>
      </w:r>
      <w:r>
        <w:t xml:space="preserve"> μ</w:t>
      </w:r>
      <w:r>
        <w:rPr>
          <w:rFonts w:hint="eastAsia"/>
        </w:rPr>
        <w:t>L。</w:t>
      </w:r>
    </w:p>
    <w:p w14:paraId="66F4221C">
      <w:pPr>
        <w:pStyle w:val="10"/>
        <w:spacing w:beforeLines="50" w:afterLines="50"/>
        <w:rPr>
          <w:rFonts w:ascii="黑体" w:hAnsi="黑体" w:eastAsia="黑体"/>
        </w:rPr>
      </w:pPr>
      <w:r>
        <w:rPr>
          <w:rFonts w:hint="eastAsia" w:ascii="黑体" w:hAnsi="黑体" w:eastAsia="黑体"/>
        </w:rPr>
        <w:t>气相色谱操作条件</w:t>
      </w:r>
    </w:p>
    <w:p w14:paraId="51AE8B30">
      <w:pPr>
        <w:pStyle w:val="11"/>
        <w:spacing w:beforeLines="50" w:afterLines="50"/>
        <w:ind w:left="0"/>
      </w:pPr>
      <w:r>
        <w:rPr>
          <w:rFonts w:hint="eastAsia"/>
        </w:rPr>
        <w:t>温度（℃）：柱室210、气化室275、检测室300。</w:t>
      </w:r>
    </w:p>
    <w:p w14:paraId="3208114B">
      <w:pPr>
        <w:pStyle w:val="11"/>
        <w:spacing w:beforeLines="50" w:afterLines="50"/>
        <w:ind w:left="0"/>
      </w:pPr>
      <w:r>
        <w:rPr>
          <w:rFonts w:hint="eastAsia"/>
        </w:rPr>
        <w:t>气体流量（mL/min）：载气（N</w:t>
      </w:r>
      <w:r>
        <w:rPr>
          <w:rFonts w:hint="eastAsia"/>
          <w:vertAlign w:val="subscript"/>
        </w:rPr>
        <w:t>2</w:t>
      </w:r>
      <w:r>
        <w:rPr>
          <w:rFonts w:hint="eastAsia"/>
        </w:rPr>
        <w:t>）2.0、氢气35、空气350，补偿气（N</w:t>
      </w:r>
      <w:r>
        <w:rPr>
          <w:rFonts w:hint="eastAsia"/>
          <w:vertAlign w:val="subscript"/>
        </w:rPr>
        <w:t>2</w:t>
      </w:r>
      <w:r>
        <w:rPr>
          <w:rFonts w:hint="eastAsia"/>
        </w:rPr>
        <w:t>）20。</w:t>
      </w:r>
    </w:p>
    <w:p w14:paraId="646FCF16">
      <w:pPr>
        <w:pStyle w:val="11"/>
        <w:spacing w:beforeLines="50" w:afterLines="50"/>
        <w:ind w:left="0"/>
      </w:pPr>
      <w:r>
        <w:rPr>
          <w:rFonts w:hint="eastAsia"/>
        </w:rPr>
        <w:t>分流比：40:1。</w:t>
      </w:r>
    </w:p>
    <w:p w14:paraId="3CAF0469">
      <w:pPr>
        <w:pStyle w:val="11"/>
        <w:spacing w:beforeLines="50" w:afterLines="50"/>
        <w:ind w:left="0"/>
      </w:pPr>
      <w:r>
        <w:rPr>
          <w:rFonts w:hint="eastAsia"/>
        </w:rPr>
        <w:t xml:space="preserve">进样体积：1.0 </w:t>
      </w:r>
      <w:r>
        <w:t>μ</w:t>
      </w:r>
      <w:r>
        <w:rPr>
          <w:rFonts w:hint="eastAsia"/>
        </w:rPr>
        <w:t>L。</w:t>
      </w:r>
    </w:p>
    <w:p w14:paraId="7B09195A">
      <w:pPr>
        <w:pStyle w:val="11"/>
        <w:spacing w:beforeLines="50" w:afterLines="50"/>
        <w:ind w:left="0"/>
      </w:pPr>
      <w:r>
        <w:rPr>
          <w:rFonts w:hint="eastAsia"/>
        </w:rPr>
        <w:t>保留时间：扑草净约5.9 min、内标物约9.</w:t>
      </w:r>
      <w:r>
        <w:rPr>
          <w:rFonts w:hint="eastAsia"/>
          <w:lang w:val="en-US" w:eastAsia="zh-CN"/>
        </w:rPr>
        <w:t>0</w:t>
      </w:r>
      <w:r>
        <w:rPr>
          <w:rFonts w:hint="eastAsia"/>
        </w:rPr>
        <w:t xml:space="preserve"> min。</w:t>
      </w:r>
    </w:p>
    <w:p w14:paraId="4CE0E43E">
      <w:pPr>
        <w:pStyle w:val="11"/>
        <w:spacing w:beforeLines="50" w:afterLines="50"/>
        <w:ind w:left="0"/>
      </w:pPr>
      <w:r>
        <w:rPr>
          <w:rFonts w:hint="eastAsia"/>
        </w:rPr>
        <w:t>5.5.1.4.1</w:t>
      </w:r>
      <w:r>
        <w:rPr>
          <w:rFonts w:ascii="Times New Roman"/>
        </w:rPr>
        <w:t>~</w:t>
      </w:r>
      <w:r>
        <w:rPr>
          <w:rFonts w:hint="eastAsia"/>
        </w:rPr>
        <w:t>5.5.1.4.5的操作参数是典型的。可根据不同仪器特点，对给定的操作参数作适当调整，以期获得最佳效果。典型的扑草净原药与内标物气相色谱图见图2。</w:t>
      </w:r>
    </w:p>
    <w:bookmarkEnd w:id="54"/>
    <w:bookmarkEnd w:id="55"/>
    <w:p w14:paraId="5C605B15">
      <w:pPr>
        <w:pStyle w:val="23"/>
        <w:jc w:val="center"/>
        <w:rPr>
          <w:sz w:val="21"/>
        </w:rPr>
      </w:pPr>
      <w:r>
        <w:rPr>
          <w:sz w:val="21"/>
          <w:szCs w:val="21"/>
        </w:rPr>
        <w:drawing>
          <wp:inline distT="0" distB="0" distL="0" distR="0">
            <wp:extent cx="4490720" cy="2313305"/>
            <wp:effectExtent l="0" t="0" r="508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4535705" cy="2336680"/>
                    </a:xfrm>
                    <a:prstGeom prst="rect">
                      <a:avLst/>
                    </a:prstGeom>
                    <a:noFill/>
                    <a:ln>
                      <a:noFill/>
                    </a:ln>
                  </pic:spPr>
                </pic:pic>
              </a:graphicData>
            </a:graphic>
          </wp:inline>
        </w:drawing>
      </w:r>
    </w:p>
    <w:p w14:paraId="3F4CB0EC">
      <w:pPr>
        <w:pStyle w:val="59"/>
        <w:numPr>
          <w:ilvl w:val="0"/>
          <w:numId w:val="0"/>
        </w:numPr>
        <w:spacing w:before="156" w:after="156"/>
        <w:rPr>
          <w:rFonts w:ascii="宋体" w:hAnsi="宋体" w:eastAsia="宋体" w:cs="宋体"/>
          <w:sz w:val="18"/>
          <w:szCs w:val="18"/>
        </w:rPr>
      </w:pPr>
      <w:r>
        <w:rPr>
          <w:rFonts w:hint="eastAsia" w:ascii="宋体" w:hAnsi="宋体" w:eastAsia="宋体" w:cs="宋体"/>
          <w:sz w:val="18"/>
          <w:szCs w:val="18"/>
        </w:rPr>
        <w:t>标引序号说明：</w:t>
      </w:r>
    </w:p>
    <w:p w14:paraId="042078DB">
      <w:pPr>
        <w:pStyle w:val="23"/>
        <w:ind w:firstLine="0" w:firstLineChars="0"/>
        <w:jc w:val="left"/>
        <w:rPr>
          <w:sz w:val="18"/>
          <w:szCs w:val="18"/>
        </w:rPr>
      </w:pPr>
      <w:r>
        <w:rPr>
          <w:rFonts w:hint="eastAsia"/>
          <w:sz w:val="18"/>
          <w:szCs w:val="18"/>
        </w:rPr>
        <w:t>1</w:t>
      </w:r>
      <w:r>
        <w:rPr>
          <w:spacing w:val="-60"/>
        </w:rPr>
        <w:t>—</w:t>
      </w:r>
      <w:r>
        <w:t>—</w:t>
      </w:r>
      <w:r>
        <w:rPr>
          <w:rFonts w:hint="eastAsia"/>
          <w:sz w:val="18"/>
          <w:szCs w:val="18"/>
        </w:rPr>
        <w:t>扑草净。</w:t>
      </w:r>
    </w:p>
    <w:p w14:paraId="591307D8">
      <w:pPr>
        <w:pStyle w:val="23"/>
        <w:ind w:firstLine="0" w:firstLineChars="0"/>
        <w:jc w:val="left"/>
        <w:rPr>
          <w:sz w:val="18"/>
          <w:szCs w:val="18"/>
        </w:rPr>
      </w:pPr>
      <w:r>
        <w:rPr>
          <w:rFonts w:hint="eastAsia"/>
          <w:sz w:val="18"/>
          <w:szCs w:val="18"/>
        </w:rPr>
        <w:t>2</w:t>
      </w:r>
      <w:r>
        <w:rPr>
          <w:spacing w:val="-60"/>
        </w:rPr>
        <w:t>—</w:t>
      </w:r>
      <w:r>
        <w:t>—</w:t>
      </w:r>
      <w:r>
        <w:rPr>
          <w:rFonts w:hint="eastAsia"/>
          <w:sz w:val="18"/>
          <w:szCs w:val="18"/>
        </w:rPr>
        <w:t>内标物。</w:t>
      </w:r>
    </w:p>
    <w:p w14:paraId="1127564C">
      <w:pPr>
        <w:pStyle w:val="136"/>
        <w:spacing w:before="156" w:after="156"/>
        <w:ind w:firstLine="840"/>
      </w:pPr>
      <w:r>
        <w:rPr>
          <w:rFonts w:hint="eastAsia"/>
        </w:rPr>
        <w:t>扑草净原药与内标物气相色谱图</w:t>
      </w:r>
    </w:p>
    <w:bookmarkEnd w:id="52"/>
    <w:bookmarkEnd w:id="53"/>
    <w:p w14:paraId="52C51646">
      <w:pPr>
        <w:pStyle w:val="10"/>
        <w:spacing w:beforeLines="50" w:afterLines="50"/>
        <w:rPr>
          <w:rFonts w:ascii="黑体" w:hAnsi="黑体" w:eastAsia="黑体"/>
        </w:rPr>
      </w:pPr>
      <w:r>
        <w:rPr>
          <w:rFonts w:hint="eastAsia" w:ascii="黑体" w:hAnsi="黑体" w:eastAsia="黑体"/>
        </w:rPr>
        <w:t>测定步骤</w:t>
      </w:r>
    </w:p>
    <w:p w14:paraId="70B5AD16">
      <w:pPr>
        <w:pStyle w:val="63"/>
        <w:numPr>
          <w:ilvl w:val="4"/>
          <w:numId w:val="1"/>
        </w:numPr>
        <w:tabs>
          <w:tab w:val="left" w:pos="0"/>
        </w:tabs>
        <w:spacing w:before="156" w:after="156"/>
        <w:ind w:left="0"/>
        <w:rPr>
          <w:rFonts w:ascii="宋体" w:hAnsi="宋体" w:eastAsia="宋体" w:cs="黑体"/>
          <w:sz w:val="21"/>
          <w:szCs w:val="21"/>
        </w:rPr>
      </w:pPr>
      <w:r>
        <w:rPr>
          <w:rFonts w:hint="eastAsia" w:ascii="宋体" w:hAnsi="宋体" w:eastAsia="宋体" w:cs="黑体"/>
          <w:sz w:val="21"/>
          <w:szCs w:val="21"/>
        </w:rPr>
        <w:t>标样溶液的制备</w:t>
      </w:r>
    </w:p>
    <w:p w14:paraId="4C849A92">
      <w:pPr>
        <w:pStyle w:val="23"/>
        <w:rPr>
          <w:sz w:val="21"/>
          <w:szCs w:val="21"/>
        </w:rPr>
      </w:pPr>
      <w:r>
        <w:rPr>
          <w:rFonts w:hint="eastAsia" w:hAnsi="宋体"/>
          <w:sz w:val="21"/>
          <w:szCs w:val="21"/>
        </w:rPr>
        <w:t>称取0.05 g（精确至0.000 1 g）扑草净标样，</w:t>
      </w:r>
      <w:r>
        <w:rPr>
          <w:rFonts w:hint="eastAsia"/>
          <w:sz w:val="21"/>
          <w:szCs w:val="21"/>
        </w:rPr>
        <w:t>置于15 mL具塞玻璃瓶中，用移液管加入10 mL内标溶液A，</w:t>
      </w:r>
      <w:r>
        <w:rPr>
          <w:rFonts w:hint="eastAsia" w:hAnsi="宋体" w:cs="宋体"/>
          <w:sz w:val="21"/>
          <w:szCs w:val="21"/>
        </w:rPr>
        <w:t>摇匀。</w:t>
      </w:r>
    </w:p>
    <w:p w14:paraId="273F543F">
      <w:pPr>
        <w:pStyle w:val="63"/>
        <w:numPr>
          <w:ilvl w:val="4"/>
          <w:numId w:val="1"/>
        </w:numPr>
        <w:tabs>
          <w:tab w:val="left" w:pos="0"/>
        </w:tabs>
        <w:spacing w:before="156" w:after="156"/>
        <w:ind w:left="0"/>
        <w:rPr>
          <w:rFonts w:ascii="宋体" w:hAnsi="宋体" w:eastAsia="宋体" w:cs="黑体"/>
          <w:sz w:val="21"/>
          <w:szCs w:val="21"/>
        </w:rPr>
      </w:pPr>
      <w:r>
        <w:rPr>
          <w:rFonts w:hint="eastAsia" w:ascii="宋体" w:hAnsi="宋体" w:eastAsia="宋体" w:cs="黑体"/>
          <w:sz w:val="21"/>
          <w:szCs w:val="21"/>
        </w:rPr>
        <w:t>试样溶液的制备</w:t>
      </w:r>
    </w:p>
    <w:p w14:paraId="030B8F9E">
      <w:pPr>
        <w:pStyle w:val="23"/>
        <w:rPr>
          <w:sz w:val="21"/>
          <w:szCs w:val="21"/>
        </w:rPr>
      </w:pPr>
      <w:r>
        <w:rPr>
          <w:rFonts w:hint="eastAsia" w:hAnsi="宋体"/>
          <w:sz w:val="21"/>
          <w:szCs w:val="21"/>
        </w:rPr>
        <w:t>称取含扑草净0.05 g（精确至0.000 1 g）的试样，</w:t>
      </w:r>
      <w:r>
        <w:rPr>
          <w:rFonts w:hint="eastAsia"/>
          <w:sz w:val="21"/>
          <w:szCs w:val="21"/>
        </w:rPr>
        <w:t>置于15 mL具塞玻璃瓶中，用5.5.1.5.1</w:t>
      </w:r>
      <w:r>
        <w:rPr>
          <w:rFonts w:hint="eastAsia" w:hAnsi="宋体" w:cs="宋体"/>
          <w:sz w:val="21"/>
          <w:szCs w:val="21"/>
        </w:rPr>
        <w:t>中移取内标溶液的同一支移液管</w:t>
      </w:r>
      <w:r>
        <w:rPr>
          <w:rFonts w:hint="eastAsia"/>
          <w:sz w:val="21"/>
          <w:szCs w:val="21"/>
        </w:rPr>
        <w:t>移入10 mL内标溶液A，</w:t>
      </w:r>
      <w:r>
        <w:rPr>
          <w:rFonts w:hint="eastAsia" w:hAnsi="宋体" w:cs="宋体"/>
          <w:sz w:val="21"/>
          <w:szCs w:val="21"/>
        </w:rPr>
        <w:t>摇匀。</w:t>
      </w:r>
    </w:p>
    <w:p w14:paraId="6B01D0BC">
      <w:pPr>
        <w:pStyle w:val="63"/>
        <w:numPr>
          <w:ilvl w:val="4"/>
          <w:numId w:val="1"/>
        </w:numPr>
        <w:tabs>
          <w:tab w:val="left" w:pos="0"/>
        </w:tabs>
        <w:spacing w:before="156" w:after="156"/>
        <w:ind w:left="0"/>
        <w:rPr>
          <w:rFonts w:ascii="宋体" w:hAnsi="宋体" w:eastAsia="宋体" w:cs="黑体"/>
          <w:sz w:val="21"/>
          <w:szCs w:val="21"/>
        </w:rPr>
      </w:pPr>
      <w:r>
        <w:rPr>
          <w:rFonts w:hint="eastAsia" w:ascii="宋体" w:hAnsi="宋体" w:eastAsia="宋体" w:cs="黑体"/>
          <w:sz w:val="21"/>
          <w:szCs w:val="21"/>
        </w:rPr>
        <w:t>测定</w:t>
      </w:r>
    </w:p>
    <w:p w14:paraId="33A1F79B">
      <w:pPr>
        <w:pStyle w:val="23"/>
        <w:rPr>
          <w:rFonts w:hAnsi="宋体"/>
          <w:sz w:val="21"/>
          <w:szCs w:val="21"/>
        </w:rPr>
      </w:pPr>
      <w:r>
        <w:rPr>
          <w:rFonts w:hint="eastAsia" w:hAnsi="宋体"/>
          <w:sz w:val="21"/>
          <w:szCs w:val="21"/>
        </w:rPr>
        <w:t>在5.5.1.4的操作条件下，待仪器稳定后，连续注入数针标样溶液，直至相邻两针扑草净与内标物的峰面积</w:t>
      </w:r>
      <w:r>
        <w:rPr>
          <w:rFonts w:hint="eastAsia" w:hAnsi="宋体" w:cs="宋体"/>
          <w:sz w:val="21"/>
          <w:szCs w:val="21"/>
        </w:rPr>
        <w:t>比</w:t>
      </w:r>
      <w:r>
        <w:rPr>
          <w:rFonts w:hint="eastAsia" w:hAnsi="宋体"/>
          <w:sz w:val="21"/>
          <w:szCs w:val="21"/>
        </w:rPr>
        <w:t>相对变化小于1.5%后, 按照标样溶液、试样溶液、试样溶液、标样溶液的顺序进行测定。</w:t>
      </w:r>
    </w:p>
    <w:p w14:paraId="4B802AB8">
      <w:pPr>
        <w:pStyle w:val="10"/>
        <w:spacing w:beforeLines="50" w:afterLines="50"/>
        <w:rPr>
          <w:rFonts w:ascii="黑体" w:hAnsi="黑体" w:eastAsia="黑体"/>
        </w:rPr>
      </w:pPr>
      <w:r>
        <w:rPr>
          <w:rFonts w:hint="eastAsia" w:ascii="黑体" w:hAnsi="黑体" w:eastAsia="黑体"/>
        </w:rPr>
        <w:t xml:space="preserve">计算  </w:t>
      </w:r>
    </w:p>
    <w:p w14:paraId="0A39CFC3">
      <w:pPr>
        <w:ind w:firstLine="480"/>
        <w:rPr>
          <w:rFonts w:hAnsi="宋体"/>
          <w:szCs w:val="21"/>
        </w:rPr>
      </w:pPr>
      <w:r>
        <w:rPr>
          <w:rFonts w:hint="eastAsia"/>
          <w:szCs w:val="21"/>
        </w:rPr>
        <w:t>将测得的两针试样溶液以及试样前后两针标样溶液中扑草净与内标物的峰面积之比分别进行平均。试样中扑草净质量分数按公</w:t>
      </w:r>
      <w:r>
        <w:rPr>
          <w:rFonts w:hint="eastAsia" w:ascii="宋体" w:hAnsi="宋体" w:cs="宋体"/>
          <w:szCs w:val="21"/>
        </w:rPr>
        <w:t>式(1)</w:t>
      </w:r>
      <w:r>
        <w:rPr>
          <w:rFonts w:hint="eastAsia"/>
          <w:szCs w:val="21"/>
        </w:rPr>
        <w:t>计算：</w:t>
      </w:r>
    </w:p>
    <w:p w14:paraId="36066B8A">
      <w:pPr>
        <w:ind w:right="105" w:firstLine="2520" w:firstLineChars="1200"/>
        <w:jc w:val="right"/>
        <w:rPr>
          <w:rFonts w:hAnsi="宋体"/>
          <w:szCs w:val="21"/>
        </w:rPr>
      </w:pPr>
      <w:r>
        <w:rPr>
          <w:rFonts w:ascii="Cambria Math" w:hAnsi="Cambria Math"/>
          <w:i/>
          <w:iCs/>
          <w:position w:val="-30"/>
          <w:szCs w:val="21"/>
        </w:rPr>
        <w:object>
          <v:shape id="_x0000_i1025" o:spt="75" type="#_x0000_t75" style="height:41.35pt;width:102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r>
        <w:rPr>
          <w:szCs w:val="21"/>
        </w:rPr>
        <w:t>.............</w:t>
      </w:r>
      <w:r>
        <w:rPr>
          <w:rFonts w:hint="eastAsia"/>
          <w:szCs w:val="21"/>
        </w:rPr>
        <w:t>...............................</w:t>
      </w:r>
      <w:r>
        <w:rPr>
          <w:szCs w:val="21"/>
        </w:rPr>
        <w:t>......................</w:t>
      </w:r>
      <w:r>
        <w:rPr>
          <w:rFonts w:hint="eastAsia" w:ascii="宋体" w:hAnsi="宋体" w:cs="宋体"/>
          <w:szCs w:val="21"/>
        </w:rPr>
        <w:t>(1)</w:t>
      </w:r>
    </w:p>
    <w:p w14:paraId="699740FF">
      <w:pPr>
        <w:pStyle w:val="23"/>
        <w:rPr>
          <w:rFonts w:hAnsi="宋体"/>
          <w:sz w:val="21"/>
          <w:szCs w:val="21"/>
        </w:rPr>
      </w:pPr>
      <w:r>
        <w:rPr>
          <w:sz w:val="21"/>
          <w:szCs w:val="21"/>
        </w:rPr>
        <w:pict>
          <v:line id="_x0000_s1036" o:spid="_x0000_s1036" o:spt="20" style="position:absolute;left:0pt;margin-left:31.5pt;margin-top:3.65pt;height:0pt;width:0.05pt;z-index:251664384;mso-width-relative:page;mso-height-relative:page;"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oGb+nTAAAABQEA&#10;AA8AAAAAAAAAAQAgAAAAIgAAAGRycy9kb3ducmV2LnhtbFBLAQIUABQAAAAIAIdO4kCXxmDu5gEA&#10;ALYDAAAOAAAAAAAAAAEAIAAAACIBAABkcnMvZTJvRG9jLnhtbFBLBQYAAAAABgAGAFkBAAB6BQAA&#10;AAA=&#10;">
            <v:path arrowok="t"/>
            <v:fill focussize="0,0"/>
            <v:stroke/>
            <v:imagedata o:title=""/>
            <o:lock v:ext="edit"/>
          </v:line>
        </w:pict>
      </w:r>
      <w:r>
        <w:rPr>
          <w:rFonts w:hint="eastAsia" w:hAnsi="宋体"/>
          <w:sz w:val="21"/>
          <w:szCs w:val="21"/>
        </w:rPr>
        <w:t xml:space="preserve">式中： </w:t>
      </w:r>
    </w:p>
    <w:p w14:paraId="3C391010">
      <w:pPr>
        <w:pStyle w:val="23"/>
        <w:rPr>
          <w:rFonts w:hAnsi="宋体"/>
          <w:sz w:val="21"/>
          <w:szCs w:val="21"/>
        </w:rPr>
      </w:pPr>
      <w:r>
        <w:rPr>
          <w:rFonts w:hint="eastAsia" w:hAnsi="宋体"/>
          <w:i/>
          <w:iCs/>
          <w:sz w:val="21"/>
          <w:szCs w:val="21"/>
        </w:rPr>
        <w:t>w</w:t>
      </w:r>
      <w:r>
        <w:rPr>
          <w:rFonts w:hint="eastAsia" w:hAnsi="宋体"/>
          <w:sz w:val="21"/>
          <w:szCs w:val="21"/>
          <w:vertAlign w:val="subscript"/>
        </w:rPr>
        <w:t>1</w:t>
      </w:r>
      <w:r>
        <w:rPr>
          <w:rFonts w:hint="eastAsia" w:hAnsi="宋体"/>
          <w:spacing w:val="-60"/>
          <w:sz w:val="21"/>
          <w:szCs w:val="21"/>
        </w:rPr>
        <w:t>—</w:t>
      </w:r>
      <w:r>
        <w:rPr>
          <w:rFonts w:hint="eastAsia" w:hAnsi="宋体"/>
          <w:sz w:val="21"/>
          <w:szCs w:val="21"/>
        </w:rPr>
        <w:t>—试样中扑草净的质量分数，%；</w:t>
      </w:r>
    </w:p>
    <w:p w14:paraId="1F7264E1">
      <w:pPr>
        <w:pStyle w:val="23"/>
        <w:rPr>
          <w:rFonts w:hAnsi="宋体"/>
          <w:sz w:val="21"/>
          <w:szCs w:val="21"/>
        </w:rPr>
      </w:pPr>
      <w:r>
        <w:rPr>
          <w:rFonts w:hint="eastAsia" w:hAnsi="宋体"/>
          <w:i/>
          <w:sz w:val="21"/>
          <w:szCs w:val="21"/>
        </w:rPr>
        <w:t>r</w:t>
      </w:r>
      <w:r>
        <w:rPr>
          <w:rFonts w:hint="eastAsia" w:hAnsi="宋体"/>
          <w:sz w:val="21"/>
          <w:szCs w:val="21"/>
          <w:vertAlign w:val="subscript"/>
        </w:rPr>
        <w:t>2</w:t>
      </w:r>
      <w:r>
        <w:rPr>
          <w:rFonts w:hint="eastAsia" w:hAnsi="宋体"/>
          <w:spacing w:val="-60"/>
          <w:sz w:val="21"/>
          <w:szCs w:val="21"/>
        </w:rPr>
        <w:t>—</w:t>
      </w:r>
      <w:r>
        <w:rPr>
          <w:rFonts w:hint="eastAsia" w:hAnsi="宋体"/>
          <w:sz w:val="21"/>
          <w:szCs w:val="21"/>
        </w:rPr>
        <w:t>—试样溶液中，扑草净与内标物峰面积</w:t>
      </w:r>
      <w:r>
        <w:rPr>
          <w:rFonts w:hint="eastAsia" w:hAnsi="宋体" w:cs="宋体"/>
          <w:sz w:val="21"/>
          <w:szCs w:val="21"/>
        </w:rPr>
        <w:t>比的平均值</w:t>
      </w:r>
      <w:r>
        <w:rPr>
          <w:rFonts w:hint="eastAsia" w:hAnsi="宋体"/>
          <w:sz w:val="21"/>
          <w:szCs w:val="21"/>
        </w:rPr>
        <w:t>；</w:t>
      </w:r>
    </w:p>
    <w:p w14:paraId="12B93EF0">
      <w:pPr>
        <w:pStyle w:val="23"/>
        <w:rPr>
          <w:rFonts w:hAnsi="宋体"/>
          <w:sz w:val="21"/>
          <w:szCs w:val="21"/>
        </w:rPr>
      </w:pPr>
      <w:r>
        <w:rPr>
          <w:rFonts w:hint="eastAsia" w:hAnsi="宋体"/>
          <w:i/>
          <w:sz w:val="21"/>
          <w:szCs w:val="21"/>
        </w:rPr>
        <w:t>m</w:t>
      </w:r>
      <w:r>
        <w:rPr>
          <w:rFonts w:hint="eastAsia" w:hAnsi="宋体"/>
          <w:sz w:val="21"/>
          <w:szCs w:val="21"/>
          <w:vertAlign w:val="subscript"/>
        </w:rPr>
        <w:t>1</w:t>
      </w:r>
      <w:r>
        <w:rPr>
          <w:rFonts w:hint="eastAsia" w:hAnsi="宋体"/>
          <w:spacing w:val="-60"/>
          <w:sz w:val="21"/>
          <w:szCs w:val="21"/>
        </w:rPr>
        <w:t>—</w:t>
      </w:r>
      <w:r>
        <w:rPr>
          <w:rFonts w:hint="eastAsia" w:hAnsi="宋体"/>
          <w:sz w:val="21"/>
          <w:szCs w:val="21"/>
        </w:rPr>
        <w:t>—扑草净标样质量的数值，单位为克（g）；</w:t>
      </w:r>
    </w:p>
    <w:p w14:paraId="1018B724">
      <w:pPr>
        <w:pStyle w:val="23"/>
        <w:rPr>
          <w:rFonts w:hAnsi="宋体"/>
          <w:sz w:val="21"/>
          <w:szCs w:val="21"/>
        </w:rPr>
      </w:pPr>
      <w:r>
        <w:rPr>
          <w:rFonts w:hint="eastAsia" w:hAnsi="宋体"/>
          <w:i/>
          <w:sz w:val="21"/>
          <w:szCs w:val="21"/>
        </w:rPr>
        <w:t>w</w:t>
      </w:r>
      <w:r>
        <w:rPr>
          <w:rFonts w:hint="eastAsia" w:hAnsi="宋体"/>
          <w:iCs/>
          <w:sz w:val="21"/>
          <w:szCs w:val="21"/>
          <w:vertAlign w:val="subscript"/>
        </w:rPr>
        <w:t>b1</w:t>
      </w:r>
      <w:r>
        <w:rPr>
          <w:rFonts w:hint="eastAsia" w:hAnsi="宋体"/>
          <w:spacing w:val="-60"/>
          <w:sz w:val="21"/>
          <w:szCs w:val="21"/>
        </w:rPr>
        <w:t>—</w:t>
      </w:r>
      <w:r>
        <w:rPr>
          <w:rFonts w:hint="eastAsia" w:hAnsi="宋体"/>
          <w:sz w:val="21"/>
          <w:szCs w:val="21"/>
        </w:rPr>
        <w:t>—标样中扑草净的质量分数，%；</w:t>
      </w:r>
    </w:p>
    <w:p w14:paraId="037CD642">
      <w:pPr>
        <w:pStyle w:val="23"/>
        <w:rPr>
          <w:rFonts w:hAnsi="宋体"/>
          <w:sz w:val="21"/>
          <w:szCs w:val="21"/>
        </w:rPr>
      </w:pPr>
      <w:r>
        <w:rPr>
          <w:rFonts w:hint="eastAsia" w:hAnsi="宋体"/>
          <w:i/>
          <w:sz w:val="21"/>
          <w:szCs w:val="21"/>
        </w:rPr>
        <w:t>r</w:t>
      </w:r>
      <w:r>
        <w:rPr>
          <w:rFonts w:hint="eastAsia" w:hAnsi="宋体"/>
          <w:sz w:val="21"/>
          <w:szCs w:val="21"/>
          <w:vertAlign w:val="subscript"/>
        </w:rPr>
        <w:t>1</w:t>
      </w:r>
      <w:r>
        <w:rPr>
          <w:rFonts w:hint="eastAsia" w:hAnsi="宋体"/>
          <w:spacing w:val="-60"/>
          <w:sz w:val="21"/>
          <w:szCs w:val="21"/>
        </w:rPr>
        <w:t>—</w:t>
      </w:r>
      <w:r>
        <w:rPr>
          <w:rFonts w:hint="eastAsia" w:hAnsi="宋体"/>
          <w:sz w:val="21"/>
          <w:szCs w:val="21"/>
        </w:rPr>
        <w:t>—标样溶液中，扑草净与内标物峰面积</w:t>
      </w:r>
      <w:r>
        <w:rPr>
          <w:rFonts w:hint="eastAsia" w:hAnsi="宋体" w:cs="宋体"/>
          <w:sz w:val="21"/>
          <w:szCs w:val="21"/>
        </w:rPr>
        <w:t>比的平均值</w:t>
      </w:r>
      <w:r>
        <w:rPr>
          <w:rFonts w:hint="eastAsia" w:hAnsi="宋体"/>
          <w:sz w:val="21"/>
          <w:szCs w:val="21"/>
        </w:rPr>
        <w:t>；</w:t>
      </w:r>
    </w:p>
    <w:p w14:paraId="5A7FDE25">
      <w:pPr>
        <w:pStyle w:val="23"/>
        <w:rPr>
          <w:rFonts w:hAnsi="宋体"/>
          <w:sz w:val="21"/>
          <w:szCs w:val="21"/>
        </w:rPr>
      </w:pPr>
      <w:r>
        <w:rPr>
          <w:rFonts w:hint="eastAsia" w:hAnsi="宋体"/>
          <w:i/>
          <w:sz w:val="21"/>
          <w:szCs w:val="21"/>
        </w:rPr>
        <w:t>m</w:t>
      </w:r>
      <w:r>
        <w:rPr>
          <w:rFonts w:hint="eastAsia" w:hAnsi="宋体"/>
          <w:sz w:val="21"/>
          <w:szCs w:val="21"/>
          <w:vertAlign w:val="subscript"/>
        </w:rPr>
        <w:t>2</w:t>
      </w:r>
      <w:r>
        <w:rPr>
          <w:rFonts w:hint="eastAsia" w:hAnsi="宋体"/>
          <w:spacing w:val="-60"/>
          <w:sz w:val="21"/>
          <w:szCs w:val="21"/>
        </w:rPr>
        <w:t>—</w:t>
      </w:r>
      <w:r>
        <w:rPr>
          <w:rFonts w:hint="eastAsia" w:hAnsi="宋体"/>
          <w:sz w:val="21"/>
          <w:szCs w:val="21"/>
        </w:rPr>
        <w:t>—试样质量的数值，单位为克（g）。</w:t>
      </w:r>
    </w:p>
    <w:p w14:paraId="36556A3C">
      <w:pPr>
        <w:pStyle w:val="10"/>
        <w:spacing w:beforeLines="50" w:afterLines="50"/>
        <w:rPr>
          <w:rFonts w:ascii="黑体" w:hAnsi="黑体" w:eastAsia="黑体"/>
        </w:rPr>
      </w:pPr>
      <w:r>
        <w:rPr>
          <w:rFonts w:hint="eastAsia" w:ascii="黑体" w:hAnsi="黑体" w:eastAsia="黑体"/>
        </w:rPr>
        <w:t>允许差</w:t>
      </w:r>
    </w:p>
    <w:p w14:paraId="54744EDB">
      <w:pPr>
        <w:pStyle w:val="23"/>
        <w:rPr>
          <w:rFonts w:ascii="Times New Roman"/>
          <w:sz w:val="21"/>
          <w:szCs w:val="21"/>
        </w:rPr>
      </w:pPr>
      <w:r>
        <w:rPr>
          <w:rFonts w:hint="eastAsia" w:hAnsi="宋体" w:cs="宋体"/>
          <w:sz w:val="21"/>
          <w:szCs w:val="21"/>
        </w:rPr>
        <w:t>两次平行测定结果之差应不大于1.2%，取其算术平均值作为测定结果</w:t>
      </w:r>
      <w:r>
        <w:rPr>
          <w:rFonts w:hint="eastAsia" w:ascii="Times New Roman"/>
          <w:sz w:val="21"/>
          <w:szCs w:val="21"/>
        </w:rPr>
        <w:t>。</w:t>
      </w:r>
      <w:bookmarkEnd w:id="48"/>
    </w:p>
    <w:p w14:paraId="422CA4C3">
      <w:pPr>
        <w:pStyle w:val="54"/>
        <w:numPr>
          <w:ilvl w:val="2"/>
          <w:numId w:val="1"/>
        </w:numPr>
        <w:tabs>
          <w:tab w:val="left" w:pos="420"/>
        </w:tabs>
        <w:spacing w:before="156" w:after="156"/>
        <w:ind w:left="0"/>
        <w:rPr>
          <w:sz w:val="21"/>
          <w:szCs w:val="21"/>
        </w:rPr>
      </w:pPr>
      <w:r>
        <w:rPr>
          <w:rFonts w:hint="eastAsia"/>
          <w:sz w:val="21"/>
          <w:szCs w:val="21"/>
        </w:rPr>
        <w:t>液相色谱法</w:t>
      </w:r>
    </w:p>
    <w:p w14:paraId="7E327826">
      <w:pPr>
        <w:pStyle w:val="10"/>
        <w:spacing w:beforeLines="50" w:afterLines="50"/>
        <w:rPr>
          <w:rFonts w:ascii="黑体" w:hAnsi="黑体" w:eastAsia="黑体"/>
        </w:rPr>
      </w:pPr>
      <w:r>
        <w:rPr>
          <w:rFonts w:hint="eastAsia" w:ascii="黑体" w:hAnsi="黑体" w:eastAsia="黑体"/>
        </w:rPr>
        <w:t>方法提要</w:t>
      </w:r>
    </w:p>
    <w:p w14:paraId="301C9584">
      <w:pPr>
        <w:pStyle w:val="23"/>
        <w:rPr>
          <w:sz w:val="21"/>
          <w:szCs w:val="21"/>
        </w:rPr>
      </w:pPr>
      <w:r>
        <w:rPr>
          <w:rFonts w:hint="eastAsia"/>
          <w:sz w:val="21"/>
          <w:szCs w:val="21"/>
        </w:rPr>
        <w:t>试样用甲醇溶解,以甲醇+水为流动相，使用以 C</w:t>
      </w:r>
      <w:r>
        <w:rPr>
          <w:rFonts w:hint="default" w:ascii="Times New Roman" w:hAnsi="Times New Roman" w:cs="Times New Roman"/>
          <w:sz w:val="21"/>
          <w:szCs w:val="21"/>
          <w:vertAlign w:val="subscript"/>
        </w:rPr>
        <w:t>18</w:t>
      </w:r>
      <w:r>
        <w:rPr>
          <w:rFonts w:hint="eastAsia"/>
          <w:sz w:val="21"/>
          <w:szCs w:val="21"/>
        </w:rPr>
        <w:t>为填料的不锈钢柱和紫外检测器</w:t>
      </w:r>
      <w:r>
        <w:rPr>
          <w:rFonts w:hint="eastAsia" w:hAnsi="宋体"/>
          <w:sz w:val="21"/>
          <w:szCs w:val="21"/>
        </w:rPr>
        <w:t>，在波长265 nm下，</w:t>
      </w:r>
      <w:r>
        <w:rPr>
          <w:rFonts w:hint="eastAsia"/>
          <w:sz w:val="21"/>
          <w:szCs w:val="21"/>
        </w:rPr>
        <w:t>对试样中的扑草净进行高效液相色谱分离，外标法定量。</w:t>
      </w:r>
    </w:p>
    <w:p w14:paraId="51839EA8">
      <w:pPr>
        <w:pStyle w:val="10"/>
        <w:spacing w:beforeLines="50" w:afterLines="50"/>
        <w:rPr>
          <w:rFonts w:ascii="黑体" w:hAnsi="黑体" w:eastAsia="黑体"/>
        </w:rPr>
      </w:pPr>
      <w:r>
        <w:rPr>
          <w:rFonts w:hint="eastAsia" w:ascii="黑体" w:hAnsi="黑体" w:eastAsia="黑体"/>
        </w:rPr>
        <w:t>试剂和溶液</w:t>
      </w:r>
    </w:p>
    <w:p w14:paraId="4AEDF6A8">
      <w:pPr>
        <w:pStyle w:val="11"/>
        <w:spacing w:beforeLines="50" w:afterLines="50"/>
        <w:ind w:left="0"/>
      </w:pPr>
      <w:r>
        <w:rPr>
          <w:rFonts w:hint="eastAsia"/>
        </w:rPr>
        <w:t>甲醇：色谱级。</w:t>
      </w:r>
    </w:p>
    <w:p w14:paraId="700E5041">
      <w:pPr>
        <w:pStyle w:val="11"/>
        <w:spacing w:beforeLines="50" w:afterLines="50"/>
        <w:ind w:left="0"/>
      </w:pPr>
      <w:r>
        <w:rPr>
          <w:rFonts w:hint="eastAsia"/>
        </w:rPr>
        <w:t>水：新蒸二次蒸馏水或超纯水。</w:t>
      </w:r>
    </w:p>
    <w:p w14:paraId="2752D83F">
      <w:pPr>
        <w:pStyle w:val="11"/>
        <w:spacing w:beforeLines="50" w:afterLines="50"/>
        <w:ind w:left="0"/>
      </w:pPr>
      <w:r>
        <w:rPr>
          <w:rFonts w:hint="eastAsia"/>
        </w:rPr>
        <w:t>扑草净标样：已知扑草净质量分数且不低于98.0%。</w:t>
      </w:r>
    </w:p>
    <w:p w14:paraId="3E49A372">
      <w:pPr>
        <w:pStyle w:val="10"/>
        <w:spacing w:beforeLines="50" w:afterLines="50"/>
        <w:rPr>
          <w:rFonts w:ascii="黑体" w:hAnsi="黑体" w:eastAsia="黑体"/>
        </w:rPr>
      </w:pPr>
      <w:r>
        <w:rPr>
          <w:rFonts w:hint="eastAsia" w:ascii="黑体" w:hAnsi="黑体" w:eastAsia="黑体"/>
        </w:rPr>
        <w:t>仪器</w:t>
      </w:r>
    </w:p>
    <w:p w14:paraId="6E55295C">
      <w:pPr>
        <w:pStyle w:val="11"/>
        <w:spacing w:beforeLines="50" w:afterLines="50"/>
        <w:ind w:left="0"/>
      </w:pPr>
      <w:r>
        <w:rPr>
          <w:rFonts w:hint="eastAsia"/>
        </w:rPr>
        <w:t>高效液相色谱仪：具有可变波长紫外检测器。</w:t>
      </w:r>
    </w:p>
    <w:p w14:paraId="797C8823">
      <w:pPr>
        <w:pStyle w:val="11"/>
        <w:spacing w:beforeLines="50" w:afterLines="50"/>
        <w:ind w:left="0"/>
        <w:rPr>
          <w:rFonts w:asciiTheme="minorEastAsia" w:hAnsiTheme="minorEastAsia" w:eastAsiaTheme="minorEastAsia"/>
        </w:rPr>
      </w:pPr>
      <w:r>
        <w:rPr>
          <w:rFonts w:hint="eastAsia" w:asciiTheme="minorEastAsia" w:hAnsiTheme="minorEastAsia" w:eastAsiaTheme="minorEastAsia"/>
        </w:rPr>
        <w:t>色谱柱：250 mm×4.6 mm(内径)不锈钢柱，内装 C</w:t>
      </w:r>
      <w:r>
        <w:rPr>
          <w:rFonts w:hint="default" w:ascii="Arial" w:hAnsi="Arial" w:cs="Arial" w:eastAsiaTheme="minorEastAsia"/>
          <w:vertAlign w:val="subscript"/>
        </w:rPr>
        <w:t>18</w:t>
      </w:r>
      <w:r>
        <w:rPr>
          <w:rFonts w:hint="eastAsia" w:asciiTheme="minorEastAsia" w:hAnsiTheme="minorEastAsia" w:eastAsiaTheme="minorEastAsia"/>
        </w:rPr>
        <w:t xml:space="preserve">、5 </w:t>
      </w:r>
      <w:r>
        <w:rPr>
          <w:rFonts w:ascii="Times New Roman" w:eastAsiaTheme="minorEastAsia"/>
        </w:rPr>
        <w:t>μ</w:t>
      </w:r>
      <w:r>
        <w:rPr>
          <w:rFonts w:hint="eastAsia" w:asciiTheme="minorEastAsia" w:hAnsiTheme="minorEastAsia" w:eastAsiaTheme="minorEastAsia"/>
        </w:rPr>
        <w:t>m 填充物(或具同等效果的色谱柱)。</w:t>
      </w:r>
    </w:p>
    <w:p w14:paraId="7AFDD1FE">
      <w:pPr>
        <w:pStyle w:val="11"/>
        <w:spacing w:beforeLines="50" w:afterLines="50"/>
        <w:ind w:left="0"/>
      </w:pPr>
      <w:r>
        <w:rPr>
          <w:rFonts w:hint="eastAsia"/>
        </w:rPr>
        <w:t>超声波清洗器。</w:t>
      </w:r>
    </w:p>
    <w:p w14:paraId="27C2D7A7">
      <w:pPr>
        <w:pStyle w:val="11"/>
        <w:spacing w:beforeLines="50" w:afterLines="50"/>
        <w:ind w:left="0"/>
      </w:pPr>
      <w:r>
        <w:rPr>
          <w:rFonts w:hint="eastAsia"/>
        </w:rPr>
        <w:t xml:space="preserve">过滤器：滤膜孔径约0.45 </w:t>
      </w:r>
      <w:r>
        <w:rPr>
          <w:rFonts w:ascii="Times New Roman"/>
        </w:rPr>
        <w:t>μ</w:t>
      </w:r>
      <w:r>
        <w:rPr>
          <w:rFonts w:hint="eastAsia"/>
        </w:rPr>
        <w:t>m。</w:t>
      </w:r>
    </w:p>
    <w:p w14:paraId="7ACC7434">
      <w:pPr>
        <w:pStyle w:val="10"/>
        <w:spacing w:beforeLines="50" w:afterLines="50"/>
        <w:rPr>
          <w:rFonts w:ascii="黑体" w:hAnsi="黑体" w:eastAsia="黑体"/>
        </w:rPr>
      </w:pPr>
      <w:r>
        <w:rPr>
          <w:rFonts w:hint="eastAsia" w:ascii="黑体" w:hAnsi="黑体" w:eastAsia="黑体"/>
        </w:rPr>
        <w:t>高效液相色谱操作条件</w:t>
      </w:r>
    </w:p>
    <w:p w14:paraId="0F6E367B">
      <w:pPr>
        <w:pStyle w:val="11"/>
        <w:spacing w:beforeLines="50" w:afterLines="50"/>
        <w:ind w:left="0"/>
      </w:pPr>
      <w:r>
        <w:rPr>
          <w:rFonts w:hint="eastAsia"/>
        </w:rPr>
        <w:t>流动相：</w:t>
      </w:r>
      <w:r>
        <w:rPr>
          <w:rFonts w:hint="eastAsia" w:hAnsi="宋体" w:cs="宋体"/>
          <w:i/>
        </w:rPr>
        <w:t>ψ</w:t>
      </w:r>
      <w:r>
        <w:rPr>
          <w:rFonts w:hint="eastAsia"/>
        </w:rPr>
        <w:t>（甲醇:水）=</w:t>
      </w:r>
      <w:r>
        <w:rPr>
          <w:rFonts w:hint="eastAsia"/>
          <w:lang w:val="en-US" w:eastAsia="zh-CN"/>
        </w:rPr>
        <w:t>75</w:t>
      </w:r>
      <w:r>
        <w:rPr>
          <w:rFonts w:hint="eastAsia"/>
        </w:rPr>
        <w:t>:</w:t>
      </w:r>
      <w:r>
        <w:rPr>
          <w:rFonts w:hint="eastAsia"/>
          <w:lang w:val="en-US" w:eastAsia="zh-CN"/>
        </w:rPr>
        <w:t>25</w:t>
      </w:r>
      <w:r>
        <w:rPr>
          <w:rFonts w:hint="eastAsia"/>
        </w:rPr>
        <w:t>。</w:t>
      </w:r>
    </w:p>
    <w:p w14:paraId="337C97F8">
      <w:pPr>
        <w:pStyle w:val="11"/>
        <w:spacing w:beforeLines="50" w:afterLines="50"/>
        <w:ind w:left="0"/>
      </w:pPr>
      <w:r>
        <w:rPr>
          <w:rFonts w:hint="eastAsia"/>
        </w:rPr>
        <w:t>流速：1.0 mL/min。</w:t>
      </w:r>
    </w:p>
    <w:p w14:paraId="56CD617F">
      <w:pPr>
        <w:pStyle w:val="11"/>
        <w:spacing w:beforeLines="50" w:afterLines="50"/>
        <w:ind w:left="0"/>
      </w:pPr>
      <w:r>
        <w:rPr>
          <w:rFonts w:hint="eastAsia"/>
        </w:rPr>
        <w:t>柱温：室温(温度变化应不大于2</w:t>
      </w:r>
      <w:r>
        <w:t xml:space="preserve"> </w:t>
      </w:r>
      <w:r>
        <w:rPr>
          <w:rFonts w:hint="eastAsia"/>
        </w:rPr>
        <w:t>℃)。</w:t>
      </w:r>
    </w:p>
    <w:p w14:paraId="587048C0">
      <w:pPr>
        <w:pStyle w:val="11"/>
        <w:spacing w:beforeLines="50" w:afterLines="50"/>
        <w:ind w:left="0"/>
      </w:pPr>
      <w:r>
        <w:rPr>
          <w:rFonts w:hint="eastAsia"/>
        </w:rPr>
        <w:t>检测波长：265 nm。</w:t>
      </w:r>
    </w:p>
    <w:p w14:paraId="57CDB1EA">
      <w:pPr>
        <w:pStyle w:val="11"/>
        <w:spacing w:beforeLines="50" w:afterLines="50"/>
        <w:ind w:left="0"/>
      </w:pPr>
      <w:r>
        <w:rPr>
          <w:rFonts w:hint="eastAsia"/>
        </w:rPr>
        <w:t xml:space="preserve">进样体积：5 </w:t>
      </w:r>
      <w:r>
        <w:t>μ</w:t>
      </w:r>
      <w:r>
        <w:rPr>
          <w:rFonts w:hint="eastAsia"/>
        </w:rPr>
        <w:t>L。</w:t>
      </w:r>
    </w:p>
    <w:p w14:paraId="651FA17B">
      <w:pPr>
        <w:pStyle w:val="11"/>
        <w:spacing w:beforeLines="50" w:afterLines="50"/>
        <w:ind w:left="0"/>
      </w:pPr>
      <w:r>
        <w:rPr>
          <w:rFonts w:hint="eastAsia"/>
        </w:rPr>
        <w:t>保留时间：扑草净约</w:t>
      </w:r>
      <w:r>
        <w:rPr>
          <w:rFonts w:hint="eastAsia"/>
          <w:lang w:val="en-US" w:eastAsia="zh-CN"/>
        </w:rPr>
        <w:t>8</w:t>
      </w:r>
      <w:r>
        <w:rPr>
          <w:rFonts w:hint="eastAsia"/>
        </w:rPr>
        <w:t>.</w:t>
      </w:r>
      <w:r>
        <w:rPr>
          <w:rFonts w:hint="eastAsia"/>
          <w:lang w:val="en-US" w:eastAsia="zh-CN"/>
        </w:rPr>
        <w:t>0</w:t>
      </w:r>
      <w:r>
        <w:rPr>
          <w:rFonts w:hint="eastAsia"/>
        </w:rPr>
        <w:t xml:space="preserve"> min。</w:t>
      </w:r>
    </w:p>
    <w:p w14:paraId="68F3FA1B">
      <w:pPr>
        <w:pStyle w:val="11"/>
        <w:spacing w:beforeLines="50" w:afterLines="50"/>
        <w:ind w:left="0"/>
      </w:pPr>
      <w:r>
        <w:rPr>
          <w:rFonts w:hint="eastAsia"/>
        </w:rPr>
        <w:t>5.5.2.4.1</w:t>
      </w:r>
      <w:r>
        <w:rPr>
          <w:rFonts w:ascii="Times New Roman"/>
        </w:rPr>
        <w:t>~</w:t>
      </w:r>
      <w:r>
        <w:rPr>
          <w:rFonts w:hint="eastAsia"/>
        </w:rPr>
        <w:t>5.5.2.4.6的操作参数是典型的，可根据不同仪器特点，对给定的操作参数作适当调整，以期获得最佳效果。典型的扑草净原药高效液相色谱图见图3。</w:t>
      </w:r>
    </w:p>
    <w:p w14:paraId="0E1108FF">
      <w:pPr>
        <w:pStyle w:val="23"/>
        <w:ind w:left="0" w:leftChars="0" w:firstLine="0" w:firstLineChars="0"/>
        <w:jc w:val="left"/>
      </w:pPr>
      <w:r>
        <w:drawing>
          <wp:inline distT="0" distB="0" distL="114300" distR="114300">
            <wp:extent cx="5939155" cy="2170430"/>
            <wp:effectExtent l="0" t="0" r="4445" b="0"/>
            <wp:docPr id="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1"/>
                    <pic:cNvPicPr>
                      <a:picLocks noChangeAspect="1"/>
                    </pic:cNvPicPr>
                  </pic:nvPicPr>
                  <pic:blipFill>
                    <a:blip r:embed="rId15"/>
                    <a:srcRect t="16064"/>
                    <a:stretch>
                      <a:fillRect/>
                    </a:stretch>
                  </pic:blipFill>
                  <pic:spPr>
                    <a:xfrm>
                      <a:off x="0" y="0"/>
                      <a:ext cx="5939155" cy="2170430"/>
                    </a:xfrm>
                    <a:prstGeom prst="rect">
                      <a:avLst/>
                    </a:prstGeom>
                    <a:noFill/>
                    <a:ln>
                      <a:noFill/>
                    </a:ln>
                  </pic:spPr>
                </pic:pic>
              </a:graphicData>
            </a:graphic>
          </wp:inline>
        </w:drawing>
      </w:r>
    </w:p>
    <w:p w14:paraId="3677769C">
      <w:pPr>
        <w:pStyle w:val="23"/>
        <w:ind w:firstLine="360"/>
        <w:jc w:val="left"/>
        <w:rPr>
          <w:sz w:val="18"/>
          <w:szCs w:val="18"/>
        </w:rPr>
      </w:pPr>
      <w:r>
        <w:rPr>
          <w:rFonts w:hint="eastAsia"/>
          <w:sz w:val="18"/>
          <w:szCs w:val="18"/>
        </w:rPr>
        <w:t>标引序号说明：</w:t>
      </w:r>
    </w:p>
    <w:p w14:paraId="3A547157">
      <w:pPr>
        <w:pStyle w:val="23"/>
        <w:ind w:firstLine="360"/>
        <w:jc w:val="left"/>
        <w:rPr>
          <w:sz w:val="18"/>
          <w:szCs w:val="18"/>
        </w:rPr>
      </w:pPr>
      <w:r>
        <w:rPr>
          <w:rFonts w:hint="eastAsia"/>
          <w:sz w:val="18"/>
          <w:szCs w:val="18"/>
        </w:rPr>
        <w:t>1</w:t>
      </w:r>
      <w:r>
        <w:rPr>
          <w:spacing w:val="-60"/>
        </w:rPr>
        <w:t>—</w:t>
      </w:r>
      <w:r>
        <w:t>—</w:t>
      </w:r>
      <w:r>
        <w:rPr>
          <w:rFonts w:hint="eastAsia"/>
          <w:sz w:val="18"/>
          <w:szCs w:val="18"/>
        </w:rPr>
        <w:t>扑草净。</w:t>
      </w:r>
    </w:p>
    <w:p w14:paraId="63ADF364">
      <w:pPr>
        <w:pStyle w:val="136"/>
        <w:spacing w:before="156" w:after="156"/>
        <w:ind w:firstLine="840"/>
        <w:rPr>
          <w:szCs w:val="21"/>
        </w:rPr>
      </w:pPr>
      <w:r>
        <w:rPr>
          <w:rFonts w:hint="eastAsia"/>
          <w:szCs w:val="21"/>
        </w:rPr>
        <w:t>扑草净原药的高效液相色谱图</w:t>
      </w:r>
    </w:p>
    <w:p w14:paraId="05A24AAF">
      <w:pPr>
        <w:pStyle w:val="10"/>
        <w:spacing w:beforeLines="50" w:afterLines="50"/>
        <w:rPr>
          <w:rFonts w:ascii="黑体" w:hAnsi="黑体" w:eastAsia="黑体"/>
        </w:rPr>
      </w:pPr>
      <w:r>
        <w:rPr>
          <w:rFonts w:hint="eastAsia" w:ascii="黑体" w:hAnsi="黑体" w:eastAsia="黑体"/>
        </w:rPr>
        <w:t>测定步骤</w:t>
      </w:r>
    </w:p>
    <w:p w14:paraId="7A9BC282">
      <w:pPr>
        <w:pStyle w:val="11"/>
        <w:spacing w:afterLines="50"/>
        <w:ind w:left="0"/>
      </w:pPr>
      <w:r>
        <w:rPr>
          <w:rFonts w:hint="eastAsia"/>
        </w:rPr>
        <w:t>标样溶液的制备</w:t>
      </w:r>
    </w:p>
    <w:p w14:paraId="219D91F8">
      <w:pPr>
        <w:pStyle w:val="23"/>
        <w:rPr>
          <w:rFonts w:hAnsi="宋体"/>
          <w:sz w:val="21"/>
          <w:szCs w:val="21"/>
        </w:rPr>
      </w:pPr>
      <w:r>
        <w:rPr>
          <w:rFonts w:hint="eastAsia" w:hAnsi="宋体"/>
          <w:sz w:val="21"/>
          <w:szCs w:val="21"/>
        </w:rPr>
        <w:t>称取0.05 g（精确至0.000 1 g）扑草净标样，置于100 mL容量瓶中，加入约80 mL甲醇，超声振荡5 min，冷却至室温，用甲醇稀释至刻度，摇匀。</w:t>
      </w:r>
    </w:p>
    <w:p w14:paraId="6A3A8112">
      <w:pPr>
        <w:pStyle w:val="11"/>
        <w:spacing w:beforeLines="50" w:afterLines="50"/>
        <w:ind w:left="0"/>
      </w:pPr>
      <w:r>
        <w:rPr>
          <w:rFonts w:hint="eastAsia"/>
        </w:rPr>
        <w:t>试样溶液的制备</w:t>
      </w:r>
    </w:p>
    <w:p w14:paraId="007D10A9">
      <w:pPr>
        <w:pStyle w:val="23"/>
        <w:rPr>
          <w:rFonts w:hAnsi="宋体"/>
          <w:sz w:val="21"/>
          <w:szCs w:val="21"/>
        </w:rPr>
      </w:pPr>
      <w:r>
        <w:rPr>
          <w:rFonts w:hint="eastAsia" w:hAnsi="宋体"/>
          <w:sz w:val="21"/>
          <w:szCs w:val="21"/>
        </w:rPr>
        <w:t>称取含扑草净0.05 g（精确至0.000 1 g）的试样，置于100 mL容量瓶中，加入约80 mL甲醇，超声振荡5 min，冷却至室温，用甲醇稀释至刻度，摇匀。</w:t>
      </w:r>
    </w:p>
    <w:p w14:paraId="26E61DF0">
      <w:pPr>
        <w:pStyle w:val="11"/>
        <w:spacing w:beforeLines="50" w:afterLines="50"/>
        <w:ind w:left="0"/>
      </w:pPr>
      <w:r>
        <w:rPr>
          <w:rFonts w:hint="eastAsia"/>
        </w:rPr>
        <w:t>测定</w:t>
      </w:r>
    </w:p>
    <w:p w14:paraId="0AB13AA1">
      <w:pPr>
        <w:pStyle w:val="23"/>
        <w:rPr>
          <w:rFonts w:hAnsi="宋体"/>
          <w:sz w:val="21"/>
          <w:szCs w:val="21"/>
        </w:rPr>
      </w:pPr>
      <w:r>
        <w:rPr>
          <w:rFonts w:hint="eastAsia" w:hAnsi="宋体"/>
          <w:sz w:val="21"/>
          <w:szCs w:val="21"/>
        </w:rPr>
        <w:t>在5.5.2.4的操作条件下，待仪器稳定后，连续注入数针标样溶液，直至相邻两针扑草净峰面积相对变化小于1.2%后, 按照标样溶液、试样溶液、试样溶液、标样溶液的顺序进行测定。</w:t>
      </w:r>
    </w:p>
    <w:p w14:paraId="6B9240BE">
      <w:pPr>
        <w:pStyle w:val="10"/>
        <w:spacing w:beforeLines="50" w:afterLines="50"/>
        <w:rPr>
          <w:rFonts w:ascii="黑体" w:hAnsi="黑体" w:eastAsia="黑体"/>
        </w:rPr>
      </w:pPr>
      <w:r>
        <w:rPr>
          <w:rFonts w:hint="eastAsia" w:ascii="黑体" w:hAnsi="黑体" w:eastAsia="黑体"/>
        </w:rPr>
        <w:t xml:space="preserve">计算  </w:t>
      </w:r>
    </w:p>
    <w:p w14:paraId="6FCE2E2E">
      <w:pPr>
        <w:pStyle w:val="23"/>
        <w:rPr>
          <w:rFonts w:hAnsi="宋体"/>
          <w:sz w:val="21"/>
          <w:szCs w:val="21"/>
        </w:rPr>
      </w:pPr>
      <w:r>
        <w:rPr>
          <w:rFonts w:hint="eastAsia" w:hAnsi="宋体"/>
          <w:sz w:val="21"/>
          <w:szCs w:val="21"/>
        </w:rPr>
        <w:t>将测得的两针试样溶液以及试样前后两针标样溶液中扑草净峰面积分别进行平均，试样中扑草净</w:t>
      </w:r>
      <w:r>
        <w:rPr>
          <w:rFonts w:hint="eastAsia" w:hAnsi="宋体"/>
          <w:color w:val="000000"/>
          <w:sz w:val="21"/>
          <w:szCs w:val="21"/>
        </w:rPr>
        <w:t>质量分数按公式(2)计算</w:t>
      </w:r>
      <w:r>
        <w:rPr>
          <w:rFonts w:hint="eastAsia" w:hAnsi="宋体"/>
          <w:sz w:val="21"/>
          <w:szCs w:val="21"/>
        </w:rPr>
        <w:t>：</w:t>
      </w:r>
    </w:p>
    <w:p w14:paraId="2889AC33">
      <w:pPr>
        <w:ind w:right="105" w:firstLine="2520" w:firstLineChars="1200"/>
        <w:jc w:val="right"/>
        <w:rPr>
          <w:rFonts w:hAnsi="宋体"/>
          <w:szCs w:val="21"/>
        </w:rPr>
      </w:pPr>
      <w:r>
        <w:rPr>
          <w:rFonts w:ascii="Cambria Math" w:hAnsi="Cambria Math"/>
          <w:i/>
          <w:iCs/>
          <w:position w:val="-30"/>
          <w:szCs w:val="21"/>
        </w:rPr>
        <w:object>
          <v:shape id="_x0000_i1026" o:spt="75" type="#_x0000_t75" style="height:40.65pt;width:108pt;" o:ole="t" filled="f" o:preferrelative="t" stroked="f" coordsize="21600,21600">
            <v:path/>
            <v:fill on="f" focussize="0,0"/>
            <v:stroke on="f" joinstyle="miter"/>
            <v:imagedata r:id="rId17" o:title=""/>
            <o:lock v:ext="edit" aspectratio="t"/>
            <w10:wrap type="none"/>
            <w10:anchorlock/>
          </v:shape>
          <o:OLEObject Type="Embed" ProgID="Equation.3" ShapeID="_x0000_i1026" DrawAspect="Content" ObjectID="_1468075726" r:id="rId16">
            <o:LockedField>false</o:LockedField>
          </o:OLEObject>
        </w:object>
      </w:r>
      <w:r>
        <w:rPr>
          <w:rFonts w:hint="eastAsia"/>
          <w:szCs w:val="21"/>
        </w:rPr>
        <w:t>....................................................................</w:t>
      </w:r>
      <w:r>
        <w:rPr>
          <w:rFonts w:hint="eastAsia" w:ascii="宋体" w:hAnsi="宋体" w:cs="宋体"/>
          <w:szCs w:val="21"/>
        </w:rPr>
        <w:t>(2)</w:t>
      </w:r>
    </w:p>
    <w:p w14:paraId="7E62ABAF">
      <w:pPr>
        <w:pStyle w:val="23"/>
        <w:rPr>
          <w:rFonts w:hAnsi="宋体"/>
          <w:sz w:val="21"/>
          <w:szCs w:val="21"/>
        </w:rPr>
      </w:pPr>
      <w:r>
        <w:rPr>
          <w:sz w:val="21"/>
          <w:szCs w:val="21"/>
        </w:rPr>
        <w:pict>
          <v:line id="_x0000_s1034" o:spid="_x0000_s1034" o:spt="20" style="position:absolute;left:0pt;margin-left:31.5pt;margin-top:3.65pt;height:0pt;width:0.05pt;z-index:251665408;mso-width-relative:page;mso-height-relative:page;"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oGb+nTAAAABQEA&#10;AA8AAAAAAAAAAQAgAAAAIgAAAGRycy9kb3ducmV2LnhtbFBLAQIUABQAAAAIAIdO4kDiaM+B5gEA&#10;ALYDAAAOAAAAAAAAAAEAIAAAACIBAABkcnMvZTJvRG9jLnhtbFBLBQYAAAAABgAGAFkBAAB6BQAA&#10;AAA=&#10;">
            <v:path arrowok="t"/>
            <v:fill focussize="0,0"/>
            <v:stroke/>
            <v:imagedata o:title=""/>
            <o:lock v:ext="edit"/>
          </v:line>
        </w:pict>
      </w:r>
      <w:r>
        <w:rPr>
          <w:rFonts w:hint="eastAsia" w:hAnsi="宋体"/>
          <w:sz w:val="21"/>
          <w:szCs w:val="21"/>
        </w:rPr>
        <w:t xml:space="preserve">式中： </w:t>
      </w:r>
    </w:p>
    <w:p w14:paraId="17D535D3">
      <w:pPr>
        <w:pStyle w:val="23"/>
        <w:rPr>
          <w:rFonts w:hAnsi="宋体"/>
          <w:sz w:val="21"/>
          <w:szCs w:val="21"/>
        </w:rPr>
      </w:pPr>
      <w:r>
        <w:rPr>
          <w:rFonts w:hint="eastAsia" w:hAnsi="宋体"/>
          <w:i/>
          <w:iCs/>
          <w:sz w:val="21"/>
          <w:szCs w:val="21"/>
        </w:rPr>
        <w:t>w</w:t>
      </w:r>
      <w:r>
        <w:rPr>
          <w:rFonts w:hint="eastAsia" w:hAnsi="宋体"/>
          <w:sz w:val="21"/>
          <w:szCs w:val="21"/>
          <w:vertAlign w:val="subscript"/>
        </w:rPr>
        <w:t>1</w:t>
      </w:r>
      <w:r>
        <w:rPr>
          <w:rFonts w:hint="eastAsia" w:hAnsi="宋体"/>
          <w:spacing w:val="-60"/>
          <w:sz w:val="21"/>
          <w:szCs w:val="21"/>
        </w:rPr>
        <w:t>—</w:t>
      </w:r>
      <w:r>
        <w:rPr>
          <w:rFonts w:hint="eastAsia" w:hAnsi="宋体"/>
          <w:sz w:val="21"/>
          <w:szCs w:val="21"/>
        </w:rPr>
        <w:t>—试样中扑草净质量分数，%；</w:t>
      </w:r>
    </w:p>
    <w:p w14:paraId="00454372">
      <w:pPr>
        <w:pStyle w:val="23"/>
        <w:rPr>
          <w:rFonts w:hAnsi="宋体"/>
          <w:sz w:val="21"/>
          <w:szCs w:val="21"/>
        </w:rPr>
      </w:pPr>
      <w:r>
        <w:rPr>
          <w:rFonts w:hint="eastAsia" w:hAnsi="宋体"/>
          <w:i/>
          <w:sz w:val="21"/>
          <w:szCs w:val="21"/>
        </w:rPr>
        <w:t>A</w:t>
      </w:r>
      <w:r>
        <w:rPr>
          <w:rFonts w:hint="eastAsia" w:hAnsi="宋体"/>
          <w:sz w:val="21"/>
          <w:szCs w:val="21"/>
          <w:vertAlign w:val="subscript"/>
        </w:rPr>
        <w:t>2</w:t>
      </w:r>
      <w:r>
        <w:rPr>
          <w:rFonts w:hint="eastAsia" w:hAnsi="宋体"/>
          <w:spacing w:val="-60"/>
          <w:sz w:val="21"/>
          <w:szCs w:val="21"/>
        </w:rPr>
        <w:t>—</w:t>
      </w:r>
      <w:r>
        <w:rPr>
          <w:rFonts w:hint="eastAsia" w:hAnsi="宋体"/>
          <w:sz w:val="21"/>
          <w:szCs w:val="21"/>
        </w:rPr>
        <w:t>—试样溶液中，扑草净峰面积值的平均值；</w:t>
      </w:r>
    </w:p>
    <w:p w14:paraId="0142D657">
      <w:pPr>
        <w:pStyle w:val="23"/>
        <w:rPr>
          <w:rFonts w:hAnsi="宋体"/>
          <w:sz w:val="21"/>
          <w:szCs w:val="21"/>
        </w:rPr>
      </w:pPr>
      <w:r>
        <w:rPr>
          <w:rFonts w:hint="eastAsia" w:hAnsi="宋体"/>
          <w:i/>
          <w:sz w:val="21"/>
          <w:szCs w:val="21"/>
        </w:rPr>
        <w:t>m</w:t>
      </w:r>
      <w:r>
        <w:rPr>
          <w:rFonts w:hint="eastAsia" w:hAnsi="宋体"/>
          <w:sz w:val="21"/>
          <w:szCs w:val="21"/>
          <w:vertAlign w:val="subscript"/>
        </w:rPr>
        <w:t>3</w:t>
      </w:r>
      <w:r>
        <w:rPr>
          <w:rFonts w:hint="eastAsia" w:hAnsi="宋体"/>
          <w:spacing w:val="-60"/>
          <w:sz w:val="21"/>
          <w:szCs w:val="21"/>
        </w:rPr>
        <w:t>—</w:t>
      </w:r>
      <w:r>
        <w:rPr>
          <w:rFonts w:hint="eastAsia" w:hAnsi="宋体"/>
          <w:sz w:val="21"/>
          <w:szCs w:val="21"/>
        </w:rPr>
        <w:t>—扑草净标样质量的数值，单位为克（g）；</w:t>
      </w:r>
    </w:p>
    <w:p w14:paraId="1A4013BD">
      <w:pPr>
        <w:pStyle w:val="23"/>
        <w:rPr>
          <w:rFonts w:hAnsi="宋体"/>
          <w:sz w:val="21"/>
          <w:szCs w:val="21"/>
        </w:rPr>
      </w:pPr>
      <w:r>
        <w:rPr>
          <w:rFonts w:hint="eastAsia" w:hAnsi="宋体"/>
          <w:i/>
          <w:sz w:val="21"/>
          <w:szCs w:val="21"/>
        </w:rPr>
        <w:t>w</w:t>
      </w:r>
      <w:r>
        <w:rPr>
          <w:rFonts w:hint="eastAsia" w:hAnsi="宋体"/>
          <w:iCs/>
          <w:sz w:val="21"/>
          <w:szCs w:val="21"/>
          <w:vertAlign w:val="subscript"/>
        </w:rPr>
        <w:t>b1</w:t>
      </w:r>
      <w:r>
        <w:rPr>
          <w:rFonts w:hint="eastAsia" w:hAnsi="宋体"/>
          <w:spacing w:val="-60"/>
          <w:sz w:val="21"/>
          <w:szCs w:val="21"/>
        </w:rPr>
        <w:t>—</w:t>
      </w:r>
      <w:r>
        <w:rPr>
          <w:rFonts w:hint="eastAsia" w:hAnsi="宋体"/>
          <w:sz w:val="21"/>
          <w:szCs w:val="21"/>
        </w:rPr>
        <w:t>—标样中扑草净质量分数，%；</w:t>
      </w:r>
    </w:p>
    <w:p w14:paraId="553982C7">
      <w:pPr>
        <w:pStyle w:val="23"/>
        <w:rPr>
          <w:rFonts w:hAnsi="宋体"/>
          <w:sz w:val="21"/>
          <w:szCs w:val="21"/>
        </w:rPr>
      </w:pPr>
      <w:r>
        <w:rPr>
          <w:rFonts w:hint="eastAsia" w:hAnsi="宋体"/>
          <w:i/>
          <w:sz w:val="21"/>
          <w:szCs w:val="21"/>
        </w:rPr>
        <w:t>A</w:t>
      </w:r>
      <w:r>
        <w:rPr>
          <w:rFonts w:hint="eastAsia" w:hAnsi="宋体"/>
          <w:sz w:val="21"/>
          <w:szCs w:val="21"/>
          <w:vertAlign w:val="subscript"/>
        </w:rPr>
        <w:t>1</w:t>
      </w:r>
      <w:r>
        <w:rPr>
          <w:rFonts w:hint="eastAsia" w:hAnsi="宋体"/>
          <w:spacing w:val="-60"/>
          <w:sz w:val="21"/>
          <w:szCs w:val="21"/>
        </w:rPr>
        <w:t>—</w:t>
      </w:r>
      <w:r>
        <w:rPr>
          <w:rFonts w:hint="eastAsia" w:hAnsi="宋体"/>
          <w:sz w:val="21"/>
          <w:szCs w:val="21"/>
        </w:rPr>
        <w:t>—标样溶液中，扑草净峰面积值的平均值；</w:t>
      </w:r>
    </w:p>
    <w:p w14:paraId="59426689">
      <w:pPr>
        <w:pStyle w:val="23"/>
        <w:rPr>
          <w:rFonts w:hAnsi="宋体"/>
          <w:sz w:val="21"/>
          <w:szCs w:val="21"/>
        </w:rPr>
      </w:pPr>
      <w:r>
        <w:rPr>
          <w:rFonts w:hint="eastAsia" w:hAnsi="宋体"/>
          <w:i/>
          <w:sz w:val="21"/>
          <w:szCs w:val="21"/>
        </w:rPr>
        <w:t>m</w:t>
      </w:r>
      <w:r>
        <w:rPr>
          <w:rFonts w:hint="eastAsia" w:hAnsi="宋体"/>
          <w:sz w:val="21"/>
          <w:szCs w:val="21"/>
          <w:vertAlign w:val="subscript"/>
        </w:rPr>
        <w:t>4</w:t>
      </w:r>
      <w:r>
        <w:rPr>
          <w:rFonts w:hint="eastAsia" w:hAnsi="宋体"/>
          <w:spacing w:val="-60"/>
          <w:sz w:val="21"/>
          <w:szCs w:val="21"/>
        </w:rPr>
        <w:t>—</w:t>
      </w:r>
      <w:r>
        <w:rPr>
          <w:rFonts w:hint="eastAsia" w:hAnsi="宋体"/>
          <w:sz w:val="21"/>
          <w:szCs w:val="21"/>
        </w:rPr>
        <w:t>—试样质量的数值，单位为克（g）。</w:t>
      </w:r>
    </w:p>
    <w:p w14:paraId="09D34B42">
      <w:pPr>
        <w:pStyle w:val="10"/>
        <w:spacing w:beforeLines="50" w:afterLines="50"/>
        <w:rPr>
          <w:rFonts w:ascii="黑体" w:hAnsi="黑体" w:eastAsia="黑体"/>
        </w:rPr>
      </w:pPr>
      <w:bookmarkStart w:id="58" w:name="OLE_LINK17"/>
      <w:r>
        <w:rPr>
          <w:rFonts w:hint="eastAsia" w:ascii="黑体" w:hAnsi="黑体" w:eastAsia="黑体"/>
        </w:rPr>
        <w:t>允许差</w:t>
      </w:r>
    </w:p>
    <w:bookmarkEnd w:id="58"/>
    <w:p w14:paraId="5C836B06">
      <w:pPr>
        <w:pStyle w:val="23"/>
        <w:rPr>
          <w:rFonts w:ascii="Times New Roman"/>
          <w:sz w:val="21"/>
          <w:szCs w:val="21"/>
        </w:rPr>
      </w:pPr>
      <w:r>
        <w:rPr>
          <w:rFonts w:hint="eastAsia" w:hAnsi="宋体" w:cs="宋体"/>
          <w:sz w:val="21"/>
          <w:szCs w:val="21"/>
        </w:rPr>
        <w:t>两次平行测定结果之差应不大于1.2%，取其算术平均值作为测定结果</w:t>
      </w:r>
      <w:bookmarkEnd w:id="49"/>
      <w:r>
        <w:rPr>
          <w:rFonts w:hint="eastAsia" w:ascii="Times New Roman"/>
          <w:sz w:val="21"/>
          <w:szCs w:val="21"/>
        </w:rPr>
        <w:t>。</w:t>
      </w:r>
    </w:p>
    <w:p w14:paraId="3DB9C7CE">
      <w:pPr>
        <w:pStyle w:val="49"/>
        <w:spacing w:before="156" w:after="156"/>
        <w:rPr>
          <w:sz w:val="21"/>
          <w:szCs w:val="21"/>
        </w:rPr>
      </w:pPr>
      <w:r>
        <w:rPr>
          <w:rFonts w:hint="eastAsia"/>
          <w:sz w:val="21"/>
          <w:szCs w:val="21"/>
        </w:rPr>
        <w:t>扑灭津、莠灭净、西草净质量分数</w:t>
      </w:r>
    </w:p>
    <w:p w14:paraId="53096D1F">
      <w:pPr>
        <w:pStyle w:val="54"/>
        <w:spacing w:before="156" w:after="156"/>
        <w:rPr>
          <w:sz w:val="21"/>
          <w:szCs w:val="21"/>
        </w:rPr>
      </w:pPr>
      <w:bookmarkStart w:id="59" w:name="OLE_LINK1"/>
      <w:r>
        <w:rPr>
          <w:rFonts w:hint="eastAsia"/>
          <w:sz w:val="21"/>
          <w:szCs w:val="21"/>
        </w:rPr>
        <w:t>方法提要</w:t>
      </w:r>
    </w:p>
    <w:p w14:paraId="21BE04EE">
      <w:pPr>
        <w:pStyle w:val="23"/>
        <w:rPr>
          <w:rFonts w:ascii="Times New Roman"/>
          <w:sz w:val="21"/>
          <w:szCs w:val="21"/>
        </w:rPr>
      </w:pPr>
      <w:r>
        <w:rPr>
          <w:rFonts w:hint="eastAsia"/>
          <w:sz w:val="21"/>
          <w:szCs w:val="21"/>
        </w:rPr>
        <w:t>试样用三氯甲烷溶解，以邻苯二甲酸二正己酯</w:t>
      </w:r>
      <w:r>
        <w:rPr>
          <w:sz w:val="21"/>
          <w:szCs w:val="21"/>
        </w:rPr>
        <w:t>为内标物</w:t>
      </w:r>
      <w:r>
        <w:rPr>
          <w:rFonts w:hint="eastAsia"/>
          <w:sz w:val="21"/>
          <w:szCs w:val="21"/>
        </w:rPr>
        <w:t>，</w:t>
      </w:r>
      <w:r>
        <w:rPr>
          <w:sz w:val="21"/>
          <w:szCs w:val="21"/>
        </w:rPr>
        <w:t>使用</w:t>
      </w:r>
      <w:r>
        <w:rPr>
          <w:rFonts w:hint="eastAsia"/>
          <w:sz w:val="21"/>
          <w:szCs w:val="21"/>
        </w:rPr>
        <w:t>内壁键合聚乙二醇的毛细管柱和</w:t>
      </w:r>
      <w:r>
        <w:rPr>
          <w:sz w:val="21"/>
          <w:szCs w:val="21"/>
        </w:rPr>
        <w:t>氢火焰离子化检测器</w:t>
      </w:r>
      <w:r>
        <w:rPr>
          <w:rFonts w:hint="eastAsia"/>
          <w:sz w:val="21"/>
          <w:szCs w:val="21"/>
        </w:rPr>
        <w:t>，</w:t>
      </w:r>
      <w:r>
        <w:rPr>
          <w:sz w:val="21"/>
          <w:szCs w:val="21"/>
        </w:rPr>
        <w:t>对试样中的</w:t>
      </w:r>
      <w:r>
        <w:rPr>
          <w:rFonts w:hint="eastAsia" w:ascii="Times New Roman"/>
          <w:sz w:val="21"/>
          <w:szCs w:val="21"/>
        </w:rPr>
        <w:t>扑灭津、莠灭净、西草净</w:t>
      </w:r>
      <w:r>
        <w:rPr>
          <w:sz w:val="21"/>
          <w:szCs w:val="21"/>
        </w:rPr>
        <w:t>进行气相色谱的分离</w:t>
      </w:r>
      <w:r>
        <w:rPr>
          <w:rFonts w:hint="eastAsia"/>
          <w:sz w:val="21"/>
          <w:szCs w:val="21"/>
        </w:rPr>
        <w:t>，内标法定量。</w:t>
      </w:r>
      <w:r>
        <w:rPr>
          <w:rFonts w:hint="eastAsia" w:hAnsi="宋体"/>
          <w:kern w:val="2"/>
          <w:sz w:val="21"/>
          <w:szCs w:val="21"/>
        </w:rPr>
        <w:t>本方法中扑灭津定量限为</w:t>
      </w:r>
      <w:r>
        <w:rPr>
          <w:rFonts w:hint="eastAsia" w:hAnsi="宋体" w:cs="宋体"/>
          <w:kern w:val="2"/>
          <w:sz w:val="21"/>
          <w:szCs w:val="21"/>
        </w:rPr>
        <w:t>0.005 mg/mL</w:t>
      </w:r>
      <w:r>
        <w:rPr>
          <w:rFonts w:hint="eastAsia" w:hAnsi="宋体"/>
          <w:kern w:val="2"/>
          <w:sz w:val="21"/>
          <w:szCs w:val="21"/>
        </w:rPr>
        <w:t>、莠灭净、西草净的定量限均为</w:t>
      </w:r>
      <w:r>
        <w:rPr>
          <w:rFonts w:hint="eastAsia" w:hAnsi="宋体" w:cs="宋体"/>
          <w:kern w:val="2"/>
          <w:sz w:val="21"/>
          <w:szCs w:val="21"/>
        </w:rPr>
        <w:t>0.01 mg/mL</w:t>
      </w:r>
      <w:r>
        <w:rPr>
          <w:rFonts w:hint="eastAsia" w:hAnsi="宋体"/>
          <w:kern w:val="2"/>
          <w:sz w:val="21"/>
          <w:szCs w:val="21"/>
        </w:rPr>
        <w:t>，样品中扑灭津的定量限为0.025%、莠灭净、西草净质量分数的定量限均为0.05%</w:t>
      </w:r>
      <w:r>
        <w:rPr>
          <w:rFonts w:hint="eastAsia" w:hAnsi="宋体" w:cs="宋体"/>
          <w:kern w:val="2"/>
          <w:sz w:val="21"/>
          <w:szCs w:val="21"/>
        </w:rPr>
        <w:t>。</w:t>
      </w:r>
    </w:p>
    <w:p w14:paraId="3DA0DA4E">
      <w:pPr>
        <w:pStyle w:val="54"/>
        <w:spacing w:before="156" w:after="156"/>
        <w:rPr>
          <w:sz w:val="21"/>
          <w:szCs w:val="21"/>
        </w:rPr>
      </w:pPr>
      <w:r>
        <w:rPr>
          <w:sz w:val="21"/>
          <w:szCs w:val="21"/>
        </w:rPr>
        <w:t>试剂和溶液</w:t>
      </w:r>
    </w:p>
    <w:p w14:paraId="559FB6FD">
      <w:pPr>
        <w:pStyle w:val="59"/>
        <w:tabs>
          <w:tab w:val="left" w:pos="0"/>
        </w:tabs>
        <w:spacing w:before="156" w:after="156"/>
        <w:rPr>
          <w:rFonts w:ascii="宋体" w:hAnsi="宋体" w:eastAsia="宋体" w:cs="宋体"/>
          <w:sz w:val="21"/>
          <w:szCs w:val="21"/>
        </w:rPr>
      </w:pPr>
      <w:r>
        <w:rPr>
          <w:rFonts w:hint="eastAsia" w:ascii="宋体" w:hAnsi="宋体" w:eastAsia="宋体" w:cs="宋体"/>
          <w:sz w:val="21"/>
          <w:szCs w:val="21"/>
        </w:rPr>
        <w:t>三氯甲烷。</w:t>
      </w:r>
    </w:p>
    <w:p w14:paraId="6CF78673">
      <w:pPr>
        <w:pStyle w:val="59"/>
        <w:tabs>
          <w:tab w:val="left" w:pos="0"/>
        </w:tabs>
        <w:spacing w:before="156" w:after="156"/>
        <w:rPr>
          <w:rFonts w:ascii="宋体" w:hAnsi="宋体" w:eastAsia="宋体" w:cs="宋体"/>
          <w:sz w:val="21"/>
          <w:szCs w:val="21"/>
        </w:rPr>
      </w:pPr>
      <w:r>
        <w:rPr>
          <w:rFonts w:hint="eastAsia" w:ascii="宋体" w:hAnsi="宋体" w:eastAsia="宋体" w:cs="宋体"/>
          <w:sz w:val="21"/>
          <w:szCs w:val="21"/>
        </w:rPr>
        <w:t>内标物：邻苯二甲酸二正己酯，应没有干扰分析的杂质。</w:t>
      </w:r>
    </w:p>
    <w:p w14:paraId="3A6A2835">
      <w:pPr>
        <w:pStyle w:val="59"/>
        <w:tabs>
          <w:tab w:val="left" w:pos="0"/>
        </w:tabs>
        <w:spacing w:before="156" w:after="156"/>
        <w:rPr>
          <w:rFonts w:ascii="宋体" w:hAnsi="宋体" w:eastAsia="宋体" w:cs="宋体"/>
          <w:sz w:val="21"/>
          <w:szCs w:val="21"/>
        </w:rPr>
      </w:pPr>
      <w:r>
        <w:rPr>
          <w:rFonts w:hint="eastAsia" w:ascii="宋体" w:hAnsi="宋体" w:eastAsia="宋体" w:cs="宋体"/>
          <w:sz w:val="21"/>
          <w:szCs w:val="21"/>
        </w:rPr>
        <w:t>内标溶液B：移取3.0 mL的5.5.1.2.3中内标溶液A 于100 mL的容量瓶中，用三氯甲烷稀释至刻度，摇匀。</w:t>
      </w:r>
    </w:p>
    <w:p w14:paraId="165359AD">
      <w:pPr>
        <w:pStyle w:val="59"/>
        <w:tabs>
          <w:tab w:val="left" w:pos="0"/>
        </w:tabs>
        <w:spacing w:before="156" w:after="156"/>
        <w:rPr>
          <w:rFonts w:ascii="宋体" w:hAnsi="宋体" w:eastAsia="宋体" w:cs="宋体"/>
          <w:sz w:val="21"/>
          <w:szCs w:val="21"/>
        </w:rPr>
      </w:pPr>
      <w:r>
        <w:rPr>
          <w:rFonts w:hint="eastAsia" w:ascii="宋体" w:hAnsi="宋体" w:eastAsia="宋体" w:cs="宋体"/>
          <w:sz w:val="21"/>
          <w:szCs w:val="21"/>
        </w:rPr>
        <w:t>扑灭津标样：已知扑灭津质量分数且不低于98.0%。</w:t>
      </w:r>
    </w:p>
    <w:p w14:paraId="73CE3FA1">
      <w:pPr>
        <w:pStyle w:val="59"/>
        <w:tabs>
          <w:tab w:val="left" w:pos="0"/>
        </w:tabs>
        <w:spacing w:before="156" w:after="156"/>
        <w:rPr>
          <w:rFonts w:ascii="宋体" w:hAnsi="宋体" w:eastAsia="宋体" w:cs="宋体"/>
          <w:sz w:val="21"/>
          <w:szCs w:val="21"/>
        </w:rPr>
      </w:pPr>
      <w:r>
        <w:rPr>
          <w:rFonts w:hint="eastAsia" w:ascii="宋体" w:hAnsi="宋体" w:eastAsia="宋体" w:cs="宋体"/>
          <w:sz w:val="21"/>
          <w:szCs w:val="21"/>
        </w:rPr>
        <w:t>莠灭净标样：已知莠灭净质量分数且不低于98.0%。</w:t>
      </w:r>
    </w:p>
    <w:p w14:paraId="5796EBD8">
      <w:pPr>
        <w:pStyle w:val="59"/>
        <w:tabs>
          <w:tab w:val="left" w:pos="0"/>
        </w:tabs>
        <w:spacing w:before="156" w:after="156"/>
        <w:rPr>
          <w:rFonts w:ascii="宋体" w:hAnsi="宋体" w:eastAsia="宋体" w:cs="宋体"/>
          <w:sz w:val="21"/>
          <w:szCs w:val="21"/>
        </w:rPr>
      </w:pPr>
      <w:r>
        <w:rPr>
          <w:rFonts w:hint="eastAsia" w:ascii="宋体" w:hAnsi="宋体" w:eastAsia="宋体" w:cs="宋体"/>
          <w:sz w:val="21"/>
          <w:szCs w:val="21"/>
        </w:rPr>
        <w:t>西草净标样：已知西草净质量分数且不低98.0%。</w:t>
      </w:r>
    </w:p>
    <w:p w14:paraId="15B1755A">
      <w:pPr>
        <w:pStyle w:val="54"/>
        <w:spacing w:before="156" w:after="156"/>
        <w:rPr>
          <w:sz w:val="21"/>
          <w:szCs w:val="21"/>
        </w:rPr>
      </w:pPr>
      <w:r>
        <w:rPr>
          <w:sz w:val="21"/>
          <w:szCs w:val="21"/>
        </w:rPr>
        <w:t>仪器</w:t>
      </w:r>
    </w:p>
    <w:p w14:paraId="265A3139">
      <w:pPr>
        <w:pStyle w:val="59"/>
        <w:spacing w:before="156" w:after="156"/>
        <w:rPr>
          <w:rFonts w:ascii="宋体" w:hAnsi="宋体" w:eastAsia="宋体"/>
          <w:sz w:val="21"/>
          <w:szCs w:val="21"/>
        </w:rPr>
      </w:pPr>
      <w:r>
        <w:rPr>
          <w:rFonts w:hint="eastAsia" w:ascii="宋体" w:hAnsi="宋体" w:eastAsia="宋体"/>
          <w:sz w:val="21"/>
          <w:szCs w:val="21"/>
        </w:rPr>
        <w:t>气相色谱仪：具有氢火焰离子化检测器。</w:t>
      </w:r>
    </w:p>
    <w:p w14:paraId="35271EBD">
      <w:pPr>
        <w:pStyle w:val="59"/>
        <w:spacing w:before="156" w:after="156"/>
        <w:rPr>
          <w:rFonts w:ascii="宋体" w:hAnsi="宋体" w:eastAsia="宋体"/>
          <w:sz w:val="21"/>
          <w:szCs w:val="21"/>
        </w:rPr>
      </w:pPr>
      <w:r>
        <w:rPr>
          <w:rFonts w:hint="eastAsia" w:ascii="宋体" w:hAnsi="宋体" w:eastAsia="宋体"/>
          <w:sz w:val="21"/>
          <w:szCs w:val="21"/>
        </w:rPr>
        <w:t>色谱数据处理机或工作站。</w:t>
      </w:r>
    </w:p>
    <w:p w14:paraId="056691F1">
      <w:pPr>
        <w:pStyle w:val="59"/>
        <w:spacing w:before="156" w:after="156"/>
        <w:rPr>
          <w:rFonts w:ascii="宋体" w:hAnsi="宋体" w:eastAsia="宋体"/>
          <w:sz w:val="21"/>
          <w:szCs w:val="21"/>
        </w:rPr>
      </w:pPr>
      <w:r>
        <w:rPr>
          <w:rFonts w:hint="eastAsia" w:ascii="宋体" w:hAnsi="宋体" w:eastAsia="宋体"/>
          <w:sz w:val="21"/>
          <w:szCs w:val="21"/>
        </w:rPr>
        <w:t>色谱柱：15 m</w:t>
      </w:r>
      <w:r>
        <w:rPr>
          <w:rFonts w:hint="eastAsia" w:ascii="宋体" w:hAnsi="宋体" w:eastAsia="宋体" w:cs="宋体"/>
          <w:sz w:val="21"/>
          <w:szCs w:val="21"/>
        </w:rPr>
        <w:t>×</w:t>
      </w:r>
      <w:r>
        <w:rPr>
          <w:rFonts w:hint="eastAsia" w:ascii="宋体" w:hAnsi="宋体" w:eastAsia="宋体"/>
          <w:sz w:val="21"/>
          <w:szCs w:val="21"/>
        </w:rPr>
        <w:t xml:space="preserve">0.32 mm(内径)毛细管柱，内壁键合聚乙二醇20M固定液，膜厚0.25 </w:t>
      </w:r>
      <w:r>
        <w:rPr>
          <w:rFonts w:ascii="Times New Roman" w:eastAsia="宋体"/>
          <w:sz w:val="21"/>
          <w:szCs w:val="21"/>
        </w:rPr>
        <w:t>μ</w:t>
      </w:r>
      <w:r>
        <w:rPr>
          <w:rFonts w:hint="eastAsia" w:ascii="宋体" w:hAnsi="宋体" w:eastAsia="宋体"/>
          <w:sz w:val="21"/>
          <w:szCs w:val="21"/>
        </w:rPr>
        <w:t>m(或具同等效果的色谱柱)。</w:t>
      </w:r>
    </w:p>
    <w:p w14:paraId="58240FF2">
      <w:pPr>
        <w:pStyle w:val="59"/>
        <w:spacing w:before="156" w:after="156"/>
      </w:pPr>
      <w:r>
        <w:rPr>
          <w:rFonts w:hint="eastAsia" w:ascii="宋体" w:hAnsi="宋体" w:eastAsia="宋体"/>
        </w:rPr>
        <w:t xml:space="preserve">微量进样器：10 </w:t>
      </w:r>
      <w:r>
        <w:rPr>
          <w:rFonts w:hint="default" w:ascii="Times New Roman" w:hAnsi="Times New Roman" w:eastAsia="宋体" w:cs="Times New Roman"/>
        </w:rPr>
        <w:t>μ</w:t>
      </w:r>
      <w:r>
        <w:rPr>
          <w:rFonts w:hint="eastAsia" w:ascii="宋体" w:hAnsi="宋体" w:eastAsia="宋体"/>
        </w:rPr>
        <w:t>L。</w:t>
      </w:r>
    </w:p>
    <w:bookmarkEnd w:id="59"/>
    <w:p w14:paraId="5CCF25D3">
      <w:pPr>
        <w:pStyle w:val="54"/>
        <w:spacing w:before="156" w:after="156"/>
        <w:rPr>
          <w:sz w:val="21"/>
          <w:szCs w:val="21"/>
        </w:rPr>
      </w:pPr>
      <w:r>
        <w:rPr>
          <w:rFonts w:hint="eastAsia"/>
          <w:sz w:val="21"/>
          <w:szCs w:val="21"/>
        </w:rPr>
        <w:t>气相色谱</w:t>
      </w:r>
      <w:r>
        <w:rPr>
          <w:sz w:val="21"/>
          <w:szCs w:val="21"/>
        </w:rPr>
        <w:t>操作条件</w:t>
      </w:r>
    </w:p>
    <w:p w14:paraId="2C7FCBA1">
      <w:pPr>
        <w:pStyle w:val="59"/>
        <w:spacing w:before="156" w:after="156"/>
        <w:rPr>
          <w:rFonts w:ascii="宋体" w:hAnsi="宋体" w:eastAsia="宋体"/>
          <w:sz w:val="21"/>
          <w:szCs w:val="21"/>
        </w:rPr>
      </w:pPr>
      <w:r>
        <w:rPr>
          <w:rFonts w:hint="eastAsia" w:ascii="宋体" w:hAnsi="宋体" w:eastAsia="宋体"/>
          <w:sz w:val="21"/>
          <w:szCs w:val="21"/>
        </w:rPr>
        <w:t>温度（℃）：柱室210、气化室275、检测室300。</w:t>
      </w:r>
    </w:p>
    <w:p w14:paraId="72AC3575">
      <w:pPr>
        <w:pStyle w:val="59"/>
        <w:spacing w:before="156" w:after="156"/>
        <w:rPr>
          <w:rFonts w:ascii="宋体" w:hAnsi="宋体" w:eastAsia="宋体"/>
          <w:sz w:val="21"/>
          <w:szCs w:val="21"/>
        </w:rPr>
      </w:pPr>
      <w:r>
        <w:rPr>
          <w:rFonts w:hint="eastAsia" w:ascii="宋体" w:hAnsi="宋体" w:eastAsia="宋体"/>
          <w:sz w:val="21"/>
          <w:szCs w:val="21"/>
        </w:rPr>
        <w:t>气体流量（mL/min）：载气（N</w:t>
      </w:r>
      <w:r>
        <w:rPr>
          <w:rFonts w:hint="eastAsia" w:ascii="宋体" w:hAnsi="宋体" w:eastAsia="宋体"/>
          <w:sz w:val="21"/>
          <w:szCs w:val="21"/>
          <w:vertAlign w:val="subscript"/>
        </w:rPr>
        <w:t>2</w:t>
      </w:r>
      <w:r>
        <w:rPr>
          <w:rFonts w:hint="eastAsia" w:ascii="宋体" w:hAnsi="宋体" w:eastAsia="宋体"/>
          <w:sz w:val="21"/>
          <w:szCs w:val="21"/>
        </w:rPr>
        <w:t>）2.0、氢气35、空气350，补偿气（N</w:t>
      </w:r>
      <w:r>
        <w:rPr>
          <w:rFonts w:hint="eastAsia" w:ascii="宋体" w:hAnsi="宋体" w:eastAsia="宋体"/>
          <w:sz w:val="21"/>
          <w:szCs w:val="21"/>
          <w:vertAlign w:val="subscript"/>
        </w:rPr>
        <w:t>2</w:t>
      </w:r>
      <w:r>
        <w:rPr>
          <w:rFonts w:hint="eastAsia" w:ascii="宋体" w:hAnsi="宋体" w:eastAsia="宋体"/>
          <w:sz w:val="21"/>
          <w:szCs w:val="21"/>
        </w:rPr>
        <w:t>）20。</w:t>
      </w:r>
    </w:p>
    <w:p w14:paraId="16E83600">
      <w:pPr>
        <w:pStyle w:val="59"/>
        <w:spacing w:before="156" w:after="156"/>
        <w:rPr>
          <w:rFonts w:ascii="宋体" w:hAnsi="宋体" w:eastAsia="宋体"/>
          <w:sz w:val="21"/>
          <w:szCs w:val="21"/>
        </w:rPr>
      </w:pPr>
      <w:r>
        <w:rPr>
          <w:rFonts w:hint="eastAsia" w:ascii="宋体" w:hAnsi="宋体" w:eastAsia="宋体"/>
          <w:sz w:val="21"/>
          <w:szCs w:val="21"/>
        </w:rPr>
        <w:t>分流比：15</w:t>
      </w:r>
      <w:bookmarkStart w:id="60" w:name="OLE_LINK16"/>
      <w:r>
        <w:rPr>
          <w:rFonts w:hint="eastAsia" w:ascii="宋体" w:hAnsi="宋体" w:eastAsia="宋体"/>
          <w:sz w:val="21"/>
          <w:szCs w:val="21"/>
        </w:rPr>
        <w:t>:</w:t>
      </w:r>
      <w:bookmarkEnd w:id="60"/>
      <w:r>
        <w:rPr>
          <w:rFonts w:hint="eastAsia" w:ascii="宋体" w:hAnsi="宋体" w:eastAsia="宋体"/>
          <w:sz w:val="21"/>
          <w:szCs w:val="21"/>
        </w:rPr>
        <w:t>1。</w:t>
      </w:r>
    </w:p>
    <w:p w14:paraId="39726357">
      <w:pPr>
        <w:pStyle w:val="59"/>
        <w:spacing w:before="156" w:after="156"/>
        <w:rPr>
          <w:rFonts w:ascii="宋体" w:hAnsi="宋体" w:eastAsia="宋体"/>
          <w:sz w:val="21"/>
          <w:szCs w:val="21"/>
        </w:rPr>
      </w:pPr>
      <w:r>
        <w:rPr>
          <w:rFonts w:hint="eastAsia" w:ascii="宋体" w:hAnsi="宋体" w:eastAsia="宋体"/>
          <w:sz w:val="21"/>
          <w:szCs w:val="21"/>
        </w:rPr>
        <w:t xml:space="preserve">进样体积：1.0 </w:t>
      </w:r>
      <w:r>
        <w:rPr>
          <w:rFonts w:ascii="Times New Roman" w:eastAsia="宋体"/>
          <w:sz w:val="21"/>
          <w:szCs w:val="21"/>
        </w:rPr>
        <w:t>μ</w:t>
      </w:r>
      <w:r>
        <w:rPr>
          <w:rFonts w:hint="eastAsia" w:ascii="宋体" w:hAnsi="宋体" w:eastAsia="宋体"/>
          <w:sz w:val="21"/>
          <w:szCs w:val="21"/>
        </w:rPr>
        <w:t>L。</w:t>
      </w:r>
    </w:p>
    <w:p w14:paraId="5A616A21">
      <w:pPr>
        <w:pStyle w:val="59"/>
        <w:spacing w:before="156" w:after="156"/>
        <w:rPr>
          <w:rFonts w:ascii="宋体" w:hAnsi="宋体" w:eastAsia="宋体"/>
          <w:sz w:val="21"/>
          <w:szCs w:val="21"/>
        </w:rPr>
      </w:pPr>
      <w:r>
        <w:rPr>
          <w:rFonts w:hint="eastAsia" w:ascii="宋体" w:hAnsi="宋体" w:eastAsia="宋体"/>
          <w:sz w:val="21"/>
          <w:szCs w:val="21"/>
        </w:rPr>
        <w:t>保留时间：内标物约9.0 min、扑灭津约4.1 min、莠灭净约7.4 min、西草净约9.5 min。</w:t>
      </w:r>
    </w:p>
    <w:p w14:paraId="33422551">
      <w:pPr>
        <w:pStyle w:val="59"/>
        <w:spacing w:before="156" w:after="156"/>
        <w:rPr>
          <w:rFonts w:ascii="宋体" w:hAnsi="宋体" w:eastAsia="宋体"/>
          <w:sz w:val="21"/>
          <w:szCs w:val="21"/>
        </w:rPr>
      </w:pPr>
      <w:r>
        <w:rPr>
          <w:rFonts w:hint="eastAsia" w:ascii="宋体" w:hAnsi="宋体" w:eastAsia="宋体"/>
          <w:sz w:val="21"/>
          <w:szCs w:val="21"/>
        </w:rPr>
        <w:t>5.6.4.1</w:t>
      </w:r>
      <w:r>
        <w:rPr>
          <w:rFonts w:ascii="Times New Roman" w:eastAsia="宋体"/>
          <w:sz w:val="21"/>
          <w:szCs w:val="21"/>
        </w:rPr>
        <w:t>~</w:t>
      </w:r>
      <w:r>
        <w:rPr>
          <w:rFonts w:hint="eastAsia" w:ascii="宋体" w:hAnsi="宋体" w:eastAsia="宋体"/>
          <w:sz w:val="21"/>
          <w:szCs w:val="21"/>
        </w:rPr>
        <w:t>5.6.4.5的操作参数是典型的。</w:t>
      </w:r>
      <w:r>
        <w:rPr>
          <w:rFonts w:ascii="宋体" w:hAnsi="宋体" w:eastAsia="宋体"/>
          <w:sz w:val="21"/>
          <w:szCs w:val="21"/>
        </w:rPr>
        <w:t>可根据不同仪器特点，对给定的操作参数作适当调整，以期获得最佳效果。典型的</w:t>
      </w:r>
      <w:r>
        <w:rPr>
          <w:rFonts w:hint="eastAsia" w:ascii="宋体" w:hAnsi="宋体" w:eastAsia="宋体"/>
          <w:sz w:val="21"/>
          <w:szCs w:val="21"/>
        </w:rPr>
        <w:t>扑草净原药中莠灭净、扑草净、西草净与内标物气相色谱图</w:t>
      </w:r>
      <w:r>
        <w:rPr>
          <w:rFonts w:ascii="宋体" w:hAnsi="宋体" w:eastAsia="宋体"/>
          <w:sz w:val="21"/>
          <w:szCs w:val="21"/>
        </w:rPr>
        <w:t>见图</w:t>
      </w:r>
      <w:r>
        <w:rPr>
          <w:rFonts w:hint="eastAsia" w:ascii="宋体" w:hAnsi="宋体" w:eastAsia="宋体"/>
          <w:sz w:val="21"/>
          <w:szCs w:val="21"/>
        </w:rPr>
        <w:t>4</w:t>
      </w:r>
      <w:r>
        <w:rPr>
          <w:rFonts w:ascii="宋体" w:hAnsi="宋体" w:eastAsia="宋体"/>
          <w:sz w:val="21"/>
          <w:szCs w:val="21"/>
        </w:rPr>
        <w:t>。</w:t>
      </w:r>
    </w:p>
    <w:p w14:paraId="768BEC46">
      <w:pPr>
        <w:pStyle w:val="23"/>
        <w:ind w:firstLine="0" w:firstLineChars="0"/>
        <w:jc w:val="center"/>
        <w:rPr>
          <w:rFonts w:hint="eastAsia" w:eastAsia="宋体"/>
          <w:lang w:eastAsia="zh-CN"/>
        </w:rPr>
      </w:pPr>
      <w:r>
        <w:rPr>
          <w:rFonts w:hint="eastAsia" w:eastAsia="宋体"/>
          <w:lang w:eastAsia="zh-CN"/>
        </w:rPr>
        <w:drawing>
          <wp:inline distT="0" distB="0" distL="114300" distR="114300">
            <wp:extent cx="5407660" cy="2136775"/>
            <wp:effectExtent l="0" t="0" r="2540" b="9525"/>
            <wp:docPr id="3" name="图片 3" descr="3f75c0d2a5be5a8fdee7ea1a44d27b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f75c0d2a5be5a8fdee7ea1a44d27b16"/>
                    <pic:cNvPicPr>
                      <a:picLocks noChangeAspect="1"/>
                    </pic:cNvPicPr>
                  </pic:nvPicPr>
                  <pic:blipFill>
                    <a:blip r:embed="rId18"/>
                    <a:stretch>
                      <a:fillRect/>
                    </a:stretch>
                  </pic:blipFill>
                  <pic:spPr>
                    <a:xfrm>
                      <a:off x="0" y="0"/>
                      <a:ext cx="5407660" cy="2136775"/>
                    </a:xfrm>
                    <a:prstGeom prst="rect">
                      <a:avLst/>
                    </a:prstGeom>
                  </pic:spPr>
                </pic:pic>
              </a:graphicData>
            </a:graphic>
          </wp:inline>
        </w:drawing>
      </w:r>
    </w:p>
    <w:p w14:paraId="53DFC97B">
      <w:pPr>
        <w:pStyle w:val="23"/>
        <w:rPr>
          <w:sz w:val="21"/>
          <w:szCs w:val="21"/>
        </w:rPr>
      </w:pPr>
      <w:r>
        <w:rPr>
          <w:rFonts w:hint="eastAsia" w:hAnsi="宋体" w:cs="宋体"/>
          <w:sz w:val="21"/>
          <w:szCs w:val="21"/>
        </w:rPr>
        <w:t>标引序号说明：</w:t>
      </w:r>
    </w:p>
    <w:p w14:paraId="7D7266C9">
      <w:pPr>
        <w:pStyle w:val="23"/>
        <w:jc w:val="left"/>
        <w:rPr>
          <w:sz w:val="21"/>
          <w:szCs w:val="21"/>
        </w:rPr>
      </w:pPr>
      <w:r>
        <w:rPr>
          <w:sz w:val="21"/>
          <w:szCs w:val="21"/>
        </w:rPr>
        <w:t>1</w:t>
      </w:r>
      <w:r>
        <w:rPr>
          <w:spacing w:val="-60"/>
          <w:sz w:val="21"/>
          <w:szCs w:val="21"/>
        </w:rPr>
        <w:t>—</w:t>
      </w:r>
      <w:r>
        <w:rPr>
          <w:sz w:val="21"/>
          <w:szCs w:val="21"/>
        </w:rPr>
        <w:t>—</w:t>
      </w:r>
      <w:r>
        <w:rPr>
          <w:rFonts w:hint="eastAsia"/>
          <w:sz w:val="21"/>
          <w:szCs w:val="21"/>
        </w:rPr>
        <w:t>扑灭津。</w:t>
      </w:r>
    </w:p>
    <w:p w14:paraId="03978D0F">
      <w:pPr>
        <w:pStyle w:val="23"/>
        <w:jc w:val="left"/>
        <w:rPr>
          <w:sz w:val="21"/>
          <w:szCs w:val="21"/>
        </w:rPr>
      </w:pPr>
      <w:r>
        <w:rPr>
          <w:rFonts w:hint="eastAsia"/>
          <w:sz w:val="21"/>
          <w:szCs w:val="21"/>
        </w:rPr>
        <w:t>2</w:t>
      </w:r>
      <w:r>
        <w:rPr>
          <w:spacing w:val="-60"/>
          <w:sz w:val="21"/>
          <w:szCs w:val="21"/>
        </w:rPr>
        <w:t>—</w:t>
      </w:r>
      <w:r>
        <w:rPr>
          <w:sz w:val="21"/>
          <w:szCs w:val="21"/>
        </w:rPr>
        <w:t>—</w:t>
      </w:r>
      <w:r>
        <w:rPr>
          <w:rFonts w:hint="eastAsia"/>
          <w:sz w:val="21"/>
          <w:szCs w:val="21"/>
        </w:rPr>
        <w:t>扑草净。</w:t>
      </w:r>
    </w:p>
    <w:p w14:paraId="0E7B1767">
      <w:pPr>
        <w:pStyle w:val="23"/>
        <w:jc w:val="left"/>
        <w:rPr>
          <w:sz w:val="21"/>
          <w:szCs w:val="21"/>
        </w:rPr>
      </w:pPr>
      <w:r>
        <w:rPr>
          <w:rFonts w:hint="eastAsia"/>
          <w:sz w:val="21"/>
          <w:szCs w:val="21"/>
        </w:rPr>
        <w:t>3</w:t>
      </w:r>
      <w:r>
        <w:rPr>
          <w:spacing w:val="-60"/>
          <w:sz w:val="21"/>
          <w:szCs w:val="21"/>
        </w:rPr>
        <w:t>—</w:t>
      </w:r>
      <w:r>
        <w:rPr>
          <w:sz w:val="21"/>
          <w:szCs w:val="21"/>
        </w:rPr>
        <w:t>—</w:t>
      </w:r>
      <w:r>
        <w:rPr>
          <w:rFonts w:hint="eastAsia"/>
          <w:sz w:val="21"/>
          <w:szCs w:val="21"/>
        </w:rPr>
        <w:t>莠灭净。</w:t>
      </w:r>
    </w:p>
    <w:p w14:paraId="4C90C975">
      <w:pPr>
        <w:pStyle w:val="23"/>
        <w:jc w:val="left"/>
        <w:rPr>
          <w:sz w:val="21"/>
          <w:szCs w:val="21"/>
        </w:rPr>
      </w:pPr>
      <w:r>
        <w:rPr>
          <w:rFonts w:hint="eastAsia"/>
          <w:sz w:val="21"/>
          <w:szCs w:val="21"/>
        </w:rPr>
        <w:t>4</w:t>
      </w:r>
      <w:r>
        <w:rPr>
          <w:spacing w:val="-60"/>
          <w:sz w:val="21"/>
          <w:szCs w:val="21"/>
        </w:rPr>
        <w:t>—</w:t>
      </w:r>
      <w:r>
        <w:rPr>
          <w:sz w:val="21"/>
          <w:szCs w:val="21"/>
        </w:rPr>
        <w:t>—</w:t>
      </w:r>
      <w:r>
        <w:rPr>
          <w:rFonts w:hint="eastAsia"/>
          <w:sz w:val="21"/>
          <w:szCs w:val="21"/>
        </w:rPr>
        <w:t>内标物。</w:t>
      </w:r>
    </w:p>
    <w:p w14:paraId="7981F10B">
      <w:pPr>
        <w:pStyle w:val="23"/>
        <w:jc w:val="left"/>
        <w:rPr>
          <w:sz w:val="21"/>
          <w:szCs w:val="21"/>
        </w:rPr>
      </w:pPr>
      <w:r>
        <w:rPr>
          <w:rFonts w:hint="eastAsia"/>
          <w:sz w:val="21"/>
          <w:szCs w:val="21"/>
        </w:rPr>
        <w:t>5</w:t>
      </w:r>
      <w:r>
        <w:rPr>
          <w:spacing w:val="-60"/>
          <w:sz w:val="21"/>
          <w:szCs w:val="21"/>
        </w:rPr>
        <w:t>—</w:t>
      </w:r>
      <w:r>
        <w:rPr>
          <w:sz w:val="21"/>
          <w:szCs w:val="21"/>
        </w:rPr>
        <w:t>—</w:t>
      </w:r>
      <w:r>
        <w:rPr>
          <w:rFonts w:hint="eastAsia"/>
          <w:sz w:val="21"/>
          <w:szCs w:val="21"/>
        </w:rPr>
        <w:t>西草净。</w:t>
      </w:r>
    </w:p>
    <w:p w14:paraId="6871CA5B">
      <w:pPr>
        <w:pStyle w:val="136"/>
        <w:spacing w:before="156" w:after="156"/>
        <w:ind w:firstLine="840"/>
        <w:rPr>
          <w:szCs w:val="21"/>
        </w:rPr>
      </w:pPr>
      <w:r>
        <w:rPr>
          <w:rFonts w:hint="eastAsia"/>
          <w:szCs w:val="21"/>
        </w:rPr>
        <w:t>扑草净原药中</w:t>
      </w:r>
      <w:r>
        <w:rPr>
          <w:rFonts w:hint="eastAsia" w:ascii="Times New Roman"/>
          <w:szCs w:val="21"/>
        </w:rPr>
        <w:t>扑灭津、莠灭净、西草净</w:t>
      </w:r>
      <w:r>
        <w:rPr>
          <w:rFonts w:hint="eastAsia"/>
          <w:szCs w:val="21"/>
        </w:rPr>
        <w:t>与内标物的气相色谱图</w:t>
      </w:r>
    </w:p>
    <w:p w14:paraId="72B4AA5B">
      <w:pPr>
        <w:pStyle w:val="54"/>
        <w:spacing w:before="156" w:after="156"/>
        <w:rPr>
          <w:sz w:val="21"/>
          <w:szCs w:val="21"/>
        </w:rPr>
      </w:pPr>
      <w:r>
        <w:rPr>
          <w:rFonts w:hint="eastAsia"/>
          <w:sz w:val="21"/>
          <w:szCs w:val="21"/>
        </w:rPr>
        <w:t>测定步骤</w:t>
      </w:r>
    </w:p>
    <w:p w14:paraId="0E983D36">
      <w:pPr>
        <w:pStyle w:val="59"/>
        <w:spacing w:before="156" w:after="156"/>
        <w:rPr>
          <w:rFonts w:ascii="宋体" w:hAnsi="宋体" w:eastAsia="宋体"/>
          <w:sz w:val="21"/>
          <w:szCs w:val="21"/>
        </w:rPr>
      </w:pPr>
      <w:r>
        <w:rPr>
          <w:rFonts w:hint="eastAsia" w:ascii="宋体" w:hAnsi="宋体" w:eastAsia="宋体"/>
          <w:sz w:val="21"/>
          <w:szCs w:val="21"/>
        </w:rPr>
        <w:t>标样溶液的制备</w:t>
      </w:r>
    </w:p>
    <w:p w14:paraId="796D0D30">
      <w:pPr>
        <w:pStyle w:val="23"/>
        <w:rPr>
          <w:rFonts w:hAnsi="宋体"/>
          <w:sz w:val="21"/>
          <w:szCs w:val="21"/>
        </w:rPr>
      </w:pPr>
      <w:r>
        <w:rPr>
          <w:rFonts w:hint="eastAsia" w:hAnsi="宋体"/>
          <w:sz w:val="21"/>
          <w:szCs w:val="21"/>
        </w:rPr>
        <w:t>分别</w:t>
      </w:r>
      <w:r>
        <w:rPr>
          <w:rFonts w:hAnsi="宋体"/>
          <w:sz w:val="21"/>
          <w:szCs w:val="21"/>
        </w:rPr>
        <w:t>称取0.05 g（精确至0.000 1 g）</w:t>
      </w:r>
      <w:r>
        <w:rPr>
          <w:rFonts w:hint="eastAsia" w:ascii="Times New Roman"/>
          <w:sz w:val="21"/>
          <w:szCs w:val="21"/>
        </w:rPr>
        <w:t>扑灭津、莠灭净、西草净</w:t>
      </w:r>
      <w:r>
        <w:rPr>
          <w:rFonts w:hAnsi="宋体"/>
          <w:sz w:val="21"/>
          <w:szCs w:val="21"/>
        </w:rPr>
        <w:t>标样，置于</w:t>
      </w:r>
      <w:r>
        <w:rPr>
          <w:rFonts w:hint="eastAsia" w:hAnsi="宋体"/>
          <w:sz w:val="21"/>
          <w:szCs w:val="21"/>
        </w:rPr>
        <w:t>三个50</w:t>
      </w:r>
      <w:r>
        <w:rPr>
          <w:rFonts w:hAnsi="宋体"/>
          <w:sz w:val="21"/>
          <w:szCs w:val="21"/>
        </w:rPr>
        <w:t xml:space="preserve"> mL容量瓶中，</w:t>
      </w:r>
      <w:r>
        <w:rPr>
          <w:rFonts w:hint="eastAsia" w:hAnsi="宋体"/>
          <w:sz w:val="21"/>
          <w:szCs w:val="21"/>
        </w:rPr>
        <w:t>用三氯甲烷稀释至刻度，摇匀。准确移取上述各溶液1 mL于</w:t>
      </w:r>
      <w:r>
        <w:rPr>
          <w:rFonts w:hint="eastAsia"/>
          <w:sz w:val="21"/>
          <w:szCs w:val="21"/>
        </w:rPr>
        <w:t>10</w:t>
      </w:r>
      <w:r>
        <w:rPr>
          <w:sz w:val="21"/>
          <w:szCs w:val="21"/>
        </w:rPr>
        <w:t xml:space="preserve"> mL</w:t>
      </w:r>
      <w:r>
        <w:rPr>
          <w:rFonts w:hint="eastAsia"/>
          <w:sz w:val="21"/>
          <w:szCs w:val="21"/>
        </w:rPr>
        <w:t>容量瓶中，用移液管加入</w:t>
      </w:r>
      <w:r>
        <w:rPr>
          <w:rFonts w:hint="eastAsia" w:hAnsi="宋体"/>
          <w:sz w:val="21"/>
          <w:szCs w:val="21"/>
        </w:rPr>
        <w:t>5 mL内标溶液B，</w:t>
      </w:r>
      <w:r>
        <w:rPr>
          <w:rFonts w:hint="eastAsia" w:hAnsi="宋体"/>
        </w:rPr>
        <w:t>用三氯甲烷稀释至刻度，</w:t>
      </w:r>
      <w:r>
        <w:rPr>
          <w:rFonts w:hint="eastAsia" w:hAnsi="宋体"/>
          <w:sz w:val="21"/>
          <w:szCs w:val="21"/>
        </w:rPr>
        <w:t>摇匀。</w:t>
      </w:r>
    </w:p>
    <w:p w14:paraId="759F1A0A">
      <w:pPr>
        <w:pStyle w:val="59"/>
        <w:spacing w:before="156" w:after="156"/>
        <w:rPr>
          <w:rFonts w:ascii="宋体" w:hAnsi="宋体" w:eastAsia="宋体"/>
          <w:sz w:val="21"/>
          <w:szCs w:val="21"/>
        </w:rPr>
      </w:pPr>
      <w:r>
        <w:rPr>
          <w:rFonts w:ascii="宋体" w:hAnsi="宋体" w:eastAsia="宋体"/>
          <w:sz w:val="21"/>
          <w:szCs w:val="21"/>
        </w:rPr>
        <w:t>试样溶液的制备</w:t>
      </w:r>
    </w:p>
    <w:p w14:paraId="2A935FE7">
      <w:pPr>
        <w:pStyle w:val="23"/>
        <w:ind w:firstLine="440"/>
        <w:rPr>
          <w:rFonts w:hAnsi="宋体"/>
        </w:rPr>
      </w:pPr>
      <w:r>
        <w:rPr>
          <w:rFonts w:hAnsi="宋体"/>
        </w:rPr>
        <w:t>称取0.</w:t>
      </w:r>
      <w:r>
        <w:rPr>
          <w:rFonts w:hint="eastAsia" w:hAnsi="宋体"/>
        </w:rPr>
        <w:t>2</w:t>
      </w:r>
      <w:r>
        <w:rPr>
          <w:rFonts w:hAnsi="宋体"/>
        </w:rPr>
        <w:t xml:space="preserve"> g（精确至0.000 1 g）试样，置</w:t>
      </w:r>
      <w:r>
        <w:rPr>
          <w:rFonts w:hint="eastAsia" w:hAnsi="宋体"/>
        </w:rPr>
        <w:t>于</w:t>
      </w:r>
      <w:r>
        <w:rPr>
          <w:rFonts w:hint="eastAsia"/>
          <w:szCs w:val="21"/>
        </w:rPr>
        <w:t>1</w:t>
      </w:r>
      <w:r>
        <w:rPr>
          <w:szCs w:val="21"/>
        </w:rPr>
        <w:t>0 mL</w:t>
      </w:r>
      <w:r>
        <w:rPr>
          <w:rFonts w:hint="eastAsia"/>
          <w:szCs w:val="21"/>
        </w:rPr>
        <w:t>容量瓶中，用5.6.5.1中</w:t>
      </w:r>
      <w:r>
        <w:rPr>
          <w:rFonts w:hint="eastAsia" w:hAnsi="宋体" w:cs="宋体"/>
        </w:rPr>
        <w:t>移取内标溶液的同一支移液管</w:t>
      </w:r>
      <w:r>
        <w:rPr>
          <w:rFonts w:hint="eastAsia"/>
          <w:szCs w:val="21"/>
        </w:rPr>
        <w:t>加入</w:t>
      </w:r>
      <w:r>
        <w:rPr>
          <w:rFonts w:hint="eastAsia" w:hAnsi="宋体"/>
        </w:rPr>
        <w:t>5 mL内标溶液B，用三氯甲烷稀释至刻度，摇匀。</w:t>
      </w:r>
    </w:p>
    <w:p w14:paraId="70775DDD">
      <w:pPr>
        <w:pStyle w:val="23"/>
        <w:rPr>
          <w:rFonts w:hAnsi="宋体"/>
          <w:sz w:val="21"/>
          <w:szCs w:val="21"/>
        </w:rPr>
      </w:pPr>
    </w:p>
    <w:p w14:paraId="57E83D11">
      <w:pPr>
        <w:pStyle w:val="59"/>
        <w:spacing w:before="156" w:after="156"/>
        <w:rPr>
          <w:rFonts w:ascii="宋体" w:hAnsi="宋体" w:eastAsia="宋体"/>
          <w:sz w:val="21"/>
          <w:szCs w:val="21"/>
        </w:rPr>
      </w:pPr>
      <w:r>
        <w:rPr>
          <w:rFonts w:ascii="宋体" w:hAnsi="宋体" w:eastAsia="宋体"/>
          <w:sz w:val="21"/>
          <w:szCs w:val="21"/>
        </w:rPr>
        <w:t>测定</w:t>
      </w:r>
    </w:p>
    <w:p w14:paraId="3AF42C25">
      <w:pPr>
        <w:pStyle w:val="23"/>
        <w:rPr>
          <w:rFonts w:hAnsi="宋体"/>
          <w:sz w:val="21"/>
          <w:szCs w:val="21"/>
        </w:rPr>
      </w:pPr>
      <w:r>
        <w:rPr>
          <w:rFonts w:hAnsi="宋体"/>
          <w:sz w:val="21"/>
          <w:szCs w:val="21"/>
        </w:rPr>
        <w:t>在</w:t>
      </w:r>
      <w:r>
        <w:rPr>
          <w:rFonts w:hint="eastAsia" w:hAnsi="宋体"/>
          <w:sz w:val="21"/>
          <w:szCs w:val="21"/>
        </w:rPr>
        <w:t>5.6.4的</w:t>
      </w:r>
      <w:r>
        <w:rPr>
          <w:rFonts w:hAnsi="宋体"/>
          <w:sz w:val="21"/>
          <w:szCs w:val="21"/>
        </w:rPr>
        <w:t>操作条件下，待仪器稳定后，连续注入数针标样溶液，直至相邻两针</w:t>
      </w:r>
      <w:r>
        <w:rPr>
          <w:rFonts w:hint="eastAsia"/>
          <w:szCs w:val="21"/>
        </w:rPr>
        <w:t>扑灭津/莠灭净/西草净</w:t>
      </w:r>
      <w:r>
        <w:rPr>
          <w:rFonts w:hint="eastAsia" w:hAnsi="宋体"/>
          <w:sz w:val="21"/>
          <w:szCs w:val="21"/>
        </w:rPr>
        <w:t>与内标物</w:t>
      </w:r>
      <w:r>
        <w:rPr>
          <w:rFonts w:hAnsi="宋体"/>
          <w:sz w:val="21"/>
          <w:szCs w:val="21"/>
        </w:rPr>
        <w:t>峰面积</w:t>
      </w:r>
      <w:r>
        <w:rPr>
          <w:rFonts w:hint="eastAsia" w:hAnsi="宋体" w:cs="宋体"/>
          <w:sz w:val="21"/>
          <w:szCs w:val="21"/>
        </w:rPr>
        <w:t>比</w:t>
      </w:r>
      <w:r>
        <w:rPr>
          <w:rFonts w:hAnsi="宋体"/>
          <w:sz w:val="21"/>
          <w:szCs w:val="21"/>
        </w:rPr>
        <w:t>相对变化小于</w:t>
      </w:r>
      <w:r>
        <w:rPr>
          <w:rFonts w:hint="eastAsia" w:hAnsi="宋体"/>
          <w:sz w:val="21"/>
          <w:szCs w:val="21"/>
        </w:rPr>
        <w:t>5</w:t>
      </w:r>
      <w:r>
        <w:rPr>
          <w:rFonts w:hAnsi="宋体"/>
          <w:sz w:val="21"/>
          <w:szCs w:val="21"/>
        </w:rPr>
        <w:t>%后, 按照标样溶液、试样溶液、试样溶液、标样溶液的顺序进行测定。</w:t>
      </w:r>
    </w:p>
    <w:p w14:paraId="07CAF4C0">
      <w:pPr>
        <w:pStyle w:val="54"/>
        <w:spacing w:before="156" w:after="156"/>
        <w:rPr>
          <w:sz w:val="21"/>
          <w:szCs w:val="21"/>
        </w:rPr>
      </w:pPr>
      <w:r>
        <w:rPr>
          <w:rFonts w:hint="eastAsia"/>
          <w:sz w:val="21"/>
          <w:szCs w:val="21"/>
        </w:rPr>
        <w:t xml:space="preserve">计算  </w:t>
      </w:r>
    </w:p>
    <w:p w14:paraId="583E534B">
      <w:pPr>
        <w:ind w:firstLine="480"/>
        <w:rPr>
          <w:rFonts w:hAnsi="宋体"/>
          <w:szCs w:val="21"/>
        </w:rPr>
      </w:pPr>
      <w:r>
        <w:rPr>
          <w:rFonts w:hint="eastAsia"/>
          <w:szCs w:val="21"/>
        </w:rPr>
        <w:t>将测得的两针试样溶液以及试样前后两针标样溶液中扑灭津/莠灭净/西草净与</w:t>
      </w:r>
      <w:r>
        <w:rPr>
          <w:szCs w:val="21"/>
        </w:rPr>
        <w:t>内标物</w:t>
      </w:r>
      <w:r>
        <w:rPr>
          <w:rFonts w:hint="eastAsia"/>
          <w:szCs w:val="21"/>
        </w:rPr>
        <w:t>的峰面积之比分别进行平均。试样中扑灭津/莠灭净/西草净质量分数按公</w:t>
      </w:r>
      <w:r>
        <w:rPr>
          <w:rFonts w:hint="eastAsia" w:ascii="宋体" w:hAnsi="宋体" w:cs="宋体"/>
          <w:szCs w:val="21"/>
        </w:rPr>
        <w:t>式(3)</w:t>
      </w:r>
      <w:r>
        <w:rPr>
          <w:rFonts w:hint="eastAsia"/>
          <w:szCs w:val="21"/>
        </w:rPr>
        <w:t>计算：</w:t>
      </w:r>
    </w:p>
    <w:p w14:paraId="45502FC2">
      <w:pPr>
        <w:ind w:right="105" w:firstLine="2520" w:firstLineChars="1200"/>
        <w:jc w:val="right"/>
        <w:rPr>
          <w:rFonts w:hAnsi="宋体"/>
          <w:szCs w:val="21"/>
        </w:rPr>
      </w:pPr>
      <w:r>
        <w:rPr>
          <w:rFonts w:ascii="Cambria Math" w:hAnsi="Cambria Math"/>
          <w:i/>
          <w:iCs/>
          <w:position w:val="-30"/>
          <w:szCs w:val="21"/>
        </w:rPr>
        <w:object>
          <v:shape id="_x0000_i1027" o:spt="75" type="#_x0000_t75" style="height:42pt;width:106.65pt;" o:ole="t" filled="f" o:preferrelative="t" stroked="f" coordsize="21600,21600">
            <v:path/>
            <v:fill on="f" focussize="0,0"/>
            <v:stroke on="f" joinstyle="miter"/>
            <v:imagedata r:id="rId20" o:title=""/>
            <o:lock v:ext="edit" aspectratio="t"/>
            <w10:wrap type="none"/>
            <w10:anchorlock/>
          </v:shape>
          <o:OLEObject Type="Embed" ProgID="Equation.3" ShapeID="_x0000_i1027" DrawAspect="Content" ObjectID="_1468075727" r:id="rId19">
            <o:LockedField>false</o:LockedField>
          </o:OLEObject>
        </w:object>
      </w:r>
      <w:r>
        <w:rPr>
          <w:szCs w:val="21"/>
        </w:rPr>
        <w:t>...................</w:t>
      </w:r>
      <w:r>
        <w:rPr>
          <w:rFonts w:hint="eastAsia"/>
          <w:szCs w:val="21"/>
        </w:rPr>
        <w:t>..............</w:t>
      </w:r>
      <w:r>
        <w:rPr>
          <w:szCs w:val="21"/>
        </w:rPr>
        <w:t>....</w:t>
      </w:r>
      <w:r>
        <w:rPr>
          <w:rFonts w:hint="eastAsia"/>
          <w:szCs w:val="21"/>
        </w:rPr>
        <w:t>.........................</w:t>
      </w:r>
      <w:r>
        <w:rPr>
          <w:rFonts w:hint="eastAsia" w:ascii="宋体" w:hAnsi="宋体" w:cs="宋体"/>
          <w:szCs w:val="21"/>
        </w:rPr>
        <w:t>(3)</w:t>
      </w:r>
    </w:p>
    <w:p w14:paraId="5B37CCA4">
      <w:pPr>
        <w:pStyle w:val="23"/>
        <w:rPr>
          <w:rFonts w:hAnsi="宋体"/>
          <w:sz w:val="21"/>
          <w:szCs w:val="21"/>
        </w:rPr>
      </w:pPr>
      <w:r>
        <w:rPr>
          <w:rFonts w:hAnsi="宋体"/>
          <w:sz w:val="21"/>
          <w:szCs w:val="21"/>
        </w:rPr>
        <w:pict>
          <v:line id="Line 21" o:spid="_x0000_s1032" o:spt="20" style="position:absolute;left:0pt;margin-left:31.5pt;margin-top:3.65pt;height:0pt;width:0.05pt;z-index:251666432;mso-width-relative:page;mso-height-relative:page;"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KoGb+nTAAAABQEAAA8AAAAAAAAAAQAgAAAAIgAAAGRycy9kb3ducmV2&#10;LnhtbFBLAQIUABQAAAAIAIdO4kDC34sLyAEAAKkDAAAOAAAAAAAAAAEAIAAAACIBAABkcnMvZTJv&#10;RG9jLnhtbFBLBQYAAAAABgAGAFkBAABcBQAAAAA=&#10;">
            <v:path arrowok="t"/>
            <v:fill focussize="0,0"/>
            <v:stroke/>
            <v:imagedata o:title=""/>
            <o:lock v:ext="edit"/>
          </v:line>
        </w:pict>
      </w:r>
      <w:r>
        <w:rPr>
          <w:rFonts w:hAnsi="宋体"/>
          <w:sz w:val="21"/>
          <w:szCs w:val="21"/>
        </w:rPr>
        <w:t xml:space="preserve">式中： </w:t>
      </w:r>
    </w:p>
    <w:p w14:paraId="22D30BCD">
      <w:pPr>
        <w:pStyle w:val="23"/>
        <w:rPr>
          <w:rFonts w:hAnsi="宋体"/>
          <w:sz w:val="21"/>
          <w:szCs w:val="21"/>
        </w:rPr>
      </w:pPr>
      <w:r>
        <w:rPr>
          <w:rFonts w:hint="eastAsia" w:hAnsi="宋体"/>
          <w:i/>
          <w:iCs/>
          <w:sz w:val="21"/>
          <w:szCs w:val="21"/>
        </w:rPr>
        <w:t>w</w:t>
      </w:r>
      <w:r>
        <w:rPr>
          <w:rFonts w:hint="eastAsia" w:hAnsi="宋体"/>
          <w:sz w:val="21"/>
          <w:szCs w:val="21"/>
          <w:vertAlign w:val="subscript"/>
        </w:rPr>
        <w:t>2</w:t>
      </w:r>
      <w:r>
        <w:rPr>
          <w:rFonts w:hAnsi="宋体"/>
          <w:spacing w:val="-60"/>
          <w:sz w:val="21"/>
          <w:szCs w:val="21"/>
        </w:rPr>
        <w:t>—</w:t>
      </w:r>
      <w:r>
        <w:rPr>
          <w:rFonts w:hAnsi="宋体"/>
          <w:sz w:val="21"/>
          <w:szCs w:val="21"/>
        </w:rPr>
        <w:t>—</w:t>
      </w:r>
      <w:r>
        <w:rPr>
          <w:rFonts w:hint="eastAsia" w:hAnsi="宋体"/>
          <w:sz w:val="21"/>
          <w:szCs w:val="21"/>
        </w:rPr>
        <w:t>试样中</w:t>
      </w:r>
      <w:bookmarkStart w:id="61" w:name="OLE_LINK12"/>
      <w:r>
        <w:rPr>
          <w:rFonts w:hint="eastAsia" w:ascii="Times New Roman"/>
          <w:sz w:val="21"/>
          <w:szCs w:val="21"/>
        </w:rPr>
        <w:t>扑灭津</w:t>
      </w:r>
      <w:r>
        <w:rPr>
          <w:rFonts w:hint="eastAsia"/>
          <w:sz w:val="21"/>
          <w:szCs w:val="21"/>
        </w:rPr>
        <w:t>/</w:t>
      </w:r>
      <w:r>
        <w:rPr>
          <w:rFonts w:hint="eastAsia" w:ascii="Times New Roman"/>
          <w:sz w:val="21"/>
          <w:szCs w:val="21"/>
        </w:rPr>
        <w:t>莠灭净/西草净</w:t>
      </w:r>
      <w:bookmarkEnd w:id="61"/>
      <w:r>
        <w:rPr>
          <w:rFonts w:hint="eastAsia" w:ascii="Times New Roman"/>
          <w:sz w:val="21"/>
          <w:szCs w:val="21"/>
        </w:rPr>
        <w:t>的</w:t>
      </w:r>
      <w:r>
        <w:rPr>
          <w:rFonts w:hAnsi="宋体"/>
          <w:sz w:val="21"/>
          <w:szCs w:val="21"/>
        </w:rPr>
        <w:t>质量分数，%；</w:t>
      </w:r>
    </w:p>
    <w:p w14:paraId="661063CF">
      <w:pPr>
        <w:pStyle w:val="23"/>
        <w:rPr>
          <w:rFonts w:hAnsi="宋体"/>
          <w:sz w:val="21"/>
          <w:szCs w:val="21"/>
        </w:rPr>
      </w:pPr>
      <w:r>
        <w:rPr>
          <w:rFonts w:hint="eastAsia" w:hAnsi="宋体"/>
          <w:i/>
          <w:sz w:val="21"/>
          <w:szCs w:val="21"/>
        </w:rPr>
        <w:t>r</w:t>
      </w:r>
      <w:r>
        <w:rPr>
          <w:rFonts w:hint="eastAsia" w:hAnsi="宋体"/>
          <w:sz w:val="21"/>
          <w:szCs w:val="21"/>
          <w:vertAlign w:val="subscript"/>
        </w:rPr>
        <w:t>4</w:t>
      </w:r>
      <w:r>
        <w:rPr>
          <w:rFonts w:hAnsi="宋体"/>
          <w:spacing w:val="-60"/>
          <w:sz w:val="21"/>
          <w:szCs w:val="21"/>
        </w:rPr>
        <w:t>—</w:t>
      </w:r>
      <w:r>
        <w:rPr>
          <w:rFonts w:hAnsi="宋体"/>
          <w:sz w:val="21"/>
          <w:szCs w:val="21"/>
        </w:rPr>
        <w:t>—试样溶液中</w:t>
      </w:r>
      <w:r>
        <w:rPr>
          <w:rFonts w:hint="eastAsia" w:hAnsi="宋体"/>
          <w:sz w:val="21"/>
          <w:szCs w:val="21"/>
        </w:rPr>
        <w:t>，</w:t>
      </w:r>
      <w:r>
        <w:rPr>
          <w:rFonts w:hint="eastAsia" w:ascii="Times New Roman"/>
          <w:sz w:val="21"/>
          <w:szCs w:val="21"/>
        </w:rPr>
        <w:t>扑灭津</w:t>
      </w:r>
      <w:r>
        <w:rPr>
          <w:rFonts w:hint="eastAsia"/>
          <w:sz w:val="21"/>
          <w:szCs w:val="21"/>
        </w:rPr>
        <w:t>/</w:t>
      </w:r>
      <w:r>
        <w:rPr>
          <w:rFonts w:hint="eastAsia" w:ascii="Times New Roman"/>
          <w:sz w:val="21"/>
          <w:szCs w:val="21"/>
        </w:rPr>
        <w:t>莠灭净/西草净</w:t>
      </w:r>
      <w:r>
        <w:rPr>
          <w:rFonts w:hint="eastAsia" w:hAnsi="宋体"/>
          <w:sz w:val="21"/>
          <w:szCs w:val="21"/>
        </w:rPr>
        <w:t>与内标物</w:t>
      </w:r>
      <w:r>
        <w:rPr>
          <w:rFonts w:hAnsi="宋体"/>
          <w:sz w:val="21"/>
          <w:szCs w:val="21"/>
        </w:rPr>
        <w:t>峰面积</w:t>
      </w:r>
      <w:r>
        <w:rPr>
          <w:rFonts w:hint="eastAsia" w:hAnsi="宋体" w:cs="宋体"/>
          <w:sz w:val="21"/>
          <w:szCs w:val="21"/>
        </w:rPr>
        <w:t>比的平均值</w:t>
      </w:r>
      <w:r>
        <w:rPr>
          <w:rFonts w:hAnsi="宋体"/>
          <w:sz w:val="21"/>
          <w:szCs w:val="21"/>
        </w:rPr>
        <w:t>；</w:t>
      </w:r>
    </w:p>
    <w:p w14:paraId="6D1E1D8A">
      <w:pPr>
        <w:pStyle w:val="23"/>
        <w:rPr>
          <w:rFonts w:hAnsi="宋体"/>
          <w:sz w:val="21"/>
          <w:szCs w:val="21"/>
        </w:rPr>
      </w:pPr>
      <w:r>
        <w:rPr>
          <w:rFonts w:hAnsi="宋体"/>
          <w:i/>
          <w:sz w:val="21"/>
          <w:szCs w:val="21"/>
        </w:rPr>
        <w:t>m</w:t>
      </w:r>
      <w:r>
        <w:rPr>
          <w:rFonts w:hint="eastAsia" w:hAnsi="宋体"/>
          <w:sz w:val="21"/>
          <w:szCs w:val="21"/>
          <w:vertAlign w:val="subscript"/>
        </w:rPr>
        <w:t>5</w:t>
      </w:r>
      <w:r>
        <w:rPr>
          <w:rFonts w:hAnsi="宋体"/>
          <w:spacing w:val="-60"/>
          <w:sz w:val="21"/>
          <w:szCs w:val="21"/>
        </w:rPr>
        <w:t>—</w:t>
      </w:r>
      <w:r>
        <w:rPr>
          <w:rFonts w:hAnsi="宋体"/>
          <w:sz w:val="21"/>
          <w:szCs w:val="21"/>
        </w:rPr>
        <w:t>—</w:t>
      </w:r>
      <w:r>
        <w:rPr>
          <w:rFonts w:hint="eastAsia" w:ascii="Times New Roman"/>
          <w:sz w:val="21"/>
          <w:szCs w:val="21"/>
        </w:rPr>
        <w:t>扑灭津</w:t>
      </w:r>
      <w:r>
        <w:rPr>
          <w:rFonts w:hint="eastAsia"/>
          <w:sz w:val="21"/>
          <w:szCs w:val="21"/>
        </w:rPr>
        <w:t>/</w:t>
      </w:r>
      <w:r>
        <w:rPr>
          <w:rFonts w:hint="eastAsia" w:ascii="Times New Roman"/>
          <w:sz w:val="21"/>
          <w:szCs w:val="21"/>
        </w:rPr>
        <w:t>莠灭净/西草净</w:t>
      </w:r>
      <w:r>
        <w:rPr>
          <w:rFonts w:hAnsi="宋体"/>
          <w:sz w:val="21"/>
          <w:szCs w:val="21"/>
        </w:rPr>
        <w:t>标样质量的数值，单位为克</w:t>
      </w:r>
      <w:r>
        <w:rPr>
          <w:rFonts w:hint="eastAsia" w:hAnsi="宋体"/>
          <w:sz w:val="21"/>
          <w:szCs w:val="21"/>
        </w:rPr>
        <w:t>（</w:t>
      </w:r>
      <w:r>
        <w:rPr>
          <w:rFonts w:hAnsi="宋体"/>
          <w:sz w:val="21"/>
          <w:szCs w:val="21"/>
        </w:rPr>
        <w:t>g</w:t>
      </w:r>
      <w:r>
        <w:rPr>
          <w:rFonts w:hint="eastAsia" w:hAnsi="宋体"/>
          <w:sz w:val="21"/>
          <w:szCs w:val="21"/>
        </w:rPr>
        <w:t>）</w:t>
      </w:r>
      <w:r>
        <w:rPr>
          <w:rFonts w:hAnsi="宋体"/>
          <w:sz w:val="21"/>
          <w:szCs w:val="21"/>
        </w:rPr>
        <w:t>；</w:t>
      </w:r>
    </w:p>
    <w:p w14:paraId="660E28D6">
      <w:pPr>
        <w:pStyle w:val="23"/>
        <w:rPr>
          <w:rFonts w:hAnsi="宋体"/>
          <w:sz w:val="21"/>
          <w:szCs w:val="21"/>
        </w:rPr>
      </w:pPr>
      <w:r>
        <w:rPr>
          <w:rFonts w:hint="eastAsia" w:hAnsi="宋体"/>
          <w:i/>
          <w:sz w:val="21"/>
          <w:szCs w:val="21"/>
        </w:rPr>
        <w:t>w</w:t>
      </w:r>
      <w:r>
        <w:rPr>
          <w:rFonts w:hint="eastAsia" w:hAnsi="宋体"/>
          <w:iCs/>
          <w:sz w:val="21"/>
          <w:szCs w:val="21"/>
          <w:vertAlign w:val="subscript"/>
        </w:rPr>
        <w:t>b2</w:t>
      </w:r>
      <w:r>
        <w:rPr>
          <w:rFonts w:hAnsi="宋体"/>
          <w:spacing w:val="-60"/>
          <w:sz w:val="21"/>
          <w:szCs w:val="21"/>
        </w:rPr>
        <w:t>—</w:t>
      </w:r>
      <w:r>
        <w:rPr>
          <w:rFonts w:hAnsi="宋体"/>
          <w:sz w:val="21"/>
          <w:szCs w:val="21"/>
        </w:rPr>
        <w:t>—标样中</w:t>
      </w:r>
      <w:r>
        <w:rPr>
          <w:rFonts w:hint="eastAsia" w:ascii="Times New Roman"/>
          <w:sz w:val="21"/>
          <w:szCs w:val="21"/>
        </w:rPr>
        <w:t>扑灭津</w:t>
      </w:r>
      <w:r>
        <w:rPr>
          <w:rFonts w:hint="eastAsia"/>
          <w:sz w:val="21"/>
          <w:szCs w:val="21"/>
        </w:rPr>
        <w:t>/</w:t>
      </w:r>
      <w:r>
        <w:rPr>
          <w:rFonts w:hint="eastAsia" w:ascii="Times New Roman"/>
          <w:sz w:val="21"/>
          <w:szCs w:val="21"/>
        </w:rPr>
        <w:t>莠灭净/西草净的</w:t>
      </w:r>
      <w:r>
        <w:rPr>
          <w:rFonts w:hAnsi="宋体"/>
          <w:sz w:val="21"/>
          <w:szCs w:val="21"/>
        </w:rPr>
        <w:t>质量分数，%；</w:t>
      </w:r>
    </w:p>
    <w:p w14:paraId="0D41C31B">
      <w:pPr>
        <w:pStyle w:val="23"/>
        <w:rPr>
          <w:rFonts w:hAnsi="宋体"/>
          <w:sz w:val="21"/>
          <w:szCs w:val="21"/>
        </w:rPr>
      </w:pPr>
      <w:r>
        <w:rPr>
          <w:rFonts w:hint="eastAsia" w:hAnsi="宋体"/>
          <w:i/>
          <w:sz w:val="21"/>
          <w:szCs w:val="21"/>
        </w:rPr>
        <w:t>r</w:t>
      </w:r>
      <w:r>
        <w:rPr>
          <w:rFonts w:hint="eastAsia" w:hAnsi="宋体"/>
          <w:sz w:val="21"/>
          <w:szCs w:val="21"/>
          <w:vertAlign w:val="subscript"/>
        </w:rPr>
        <w:t>3</w:t>
      </w:r>
      <w:r>
        <w:rPr>
          <w:rFonts w:hAnsi="宋体"/>
          <w:spacing w:val="-60"/>
          <w:sz w:val="21"/>
          <w:szCs w:val="21"/>
        </w:rPr>
        <w:t>—</w:t>
      </w:r>
      <w:r>
        <w:rPr>
          <w:rFonts w:hAnsi="宋体"/>
          <w:sz w:val="21"/>
          <w:szCs w:val="21"/>
        </w:rPr>
        <w:t>—标样溶液中，</w:t>
      </w:r>
      <w:r>
        <w:rPr>
          <w:rFonts w:hint="eastAsia" w:ascii="Times New Roman"/>
          <w:sz w:val="21"/>
          <w:szCs w:val="21"/>
        </w:rPr>
        <w:t>扑灭津</w:t>
      </w:r>
      <w:r>
        <w:rPr>
          <w:rFonts w:hint="eastAsia"/>
          <w:sz w:val="21"/>
          <w:szCs w:val="21"/>
        </w:rPr>
        <w:t>/</w:t>
      </w:r>
      <w:r>
        <w:rPr>
          <w:rFonts w:hint="eastAsia" w:ascii="Times New Roman"/>
          <w:sz w:val="21"/>
          <w:szCs w:val="21"/>
        </w:rPr>
        <w:t>莠灭净/西草净</w:t>
      </w:r>
      <w:r>
        <w:rPr>
          <w:rFonts w:hint="eastAsia" w:hAnsi="宋体"/>
          <w:sz w:val="21"/>
          <w:szCs w:val="21"/>
        </w:rPr>
        <w:t>与内标物</w:t>
      </w:r>
      <w:r>
        <w:rPr>
          <w:rFonts w:hAnsi="宋体"/>
          <w:sz w:val="21"/>
          <w:szCs w:val="21"/>
        </w:rPr>
        <w:t>峰面积</w:t>
      </w:r>
      <w:r>
        <w:rPr>
          <w:rFonts w:hint="eastAsia" w:hAnsi="宋体" w:cs="宋体"/>
          <w:sz w:val="21"/>
          <w:szCs w:val="21"/>
        </w:rPr>
        <w:t>比的平均值</w:t>
      </w:r>
      <w:r>
        <w:rPr>
          <w:rFonts w:hAnsi="宋体"/>
          <w:sz w:val="21"/>
          <w:szCs w:val="21"/>
        </w:rPr>
        <w:t>；</w:t>
      </w:r>
    </w:p>
    <w:p w14:paraId="523F6A7F">
      <w:pPr>
        <w:pStyle w:val="23"/>
        <w:rPr>
          <w:rFonts w:hAnsi="宋体"/>
          <w:sz w:val="21"/>
          <w:szCs w:val="21"/>
        </w:rPr>
      </w:pPr>
      <w:r>
        <w:rPr>
          <w:rFonts w:hAnsi="宋体"/>
          <w:i/>
          <w:sz w:val="21"/>
          <w:szCs w:val="21"/>
        </w:rPr>
        <w:t>m</w:t>
      </w:r>
      <w:r>
        <w:rPr>
          <w:rFonts w:hint="eastAsia" w:hAnsi="宋体"/>
          <w:i/>
          <w:sz w:val="21"/>
          <w:szCs w:val="21"/>
          <w:vertAlign w:val="subscript"/>
        </w:rPr>
        <w:t>6</w:t>
      </w:r>
      <w:r>
        <w:rPr>
          <w:rFonts w:hAnsi="宋体"/>
          <w:spacing w:val="-60"/>
          <w:sz w:val="21"/>
          <w:szCs w:val="21"/>
        </w:rPr>
        <w:t>—</w:t>
      </w:r>
      <w:r>
        <w:rPr>
          <w:rFonts w:hAnsi="宋体"/>
          <w:sz w:val="21"/>
          <w:szCs w:val="21"/>
        </w:rPr>
        <w:t>—试样质量的数值，单位为克</w:t>
      </w:r>
      <w:r>
        <w:rPr>
          <w:rFonts w:hint="eastAsia" w:hAnsi="宋体"/>
          <w:sz w:val="21"/>
          <w:szCs w:val="21"/>
        </w:rPr>
        <w:t>（</w:t>
      </w:r>
      <w:r>
        <w:rPr>
          <w:rFonts w:hAnsi="宋体"/>
          <w:sz w:val="21"/>
          <w:szCs w:val="21"/>
        </w:rPr>
        <w:t>g</w:t>
      </w:r>
      <w:r>
        <w:rPr>
          <w:rFonts w:hint="eastAsia" w:hAnsi="宋体"/>
          <w:sz w:val="21"/>
          <w:szCs w:val="21"/>
        </w:rPr>
        <w:t>）；</w:t>
      </w:r>
    </w:p>
    <w:p w14:paraId="732F52FF">
      <w:pPr>
        <w:pStyle w:val="23"/>
        <w:rPr>
          <w:rFonts w:hAnsi="宋体"/>
          <w:i/>
          <w:iCs/>
          <w:sz w:val="21"/>
          <w:szCs w:val="21"/>
        </w:rPr>
      </w:pPr>
      <w:r>
        <w:rPr>
          <w:rFonts w:hint="eastAsia" w:hAnsi="宋体"/>
          <w:i/>
          <w:iCs/>
          <w:sz w:val="21"/>
          <w:szCs w:val="21"/>
        </w:rPr>
        <w:t xml:space="preserve">n </w:t>
      </w:r>
      <w:r>
        <w:rPr>
          <w:rFonts w:hAnsi="宋体"/>
          <w:spacing w:val="-60"/>
          <w:sz w:val="21"/>
          <w:szCs w:val="21"/>
        </w:rPr>
        <w:t>—</w:t>
      </w:r>
      <w:r>
        <w:rPr>
          <w:rFonts w:hAnsi="宋体"/>
          <w:sz w:val="21"/>
          <w:szCs w:val="21"/>
        </w:rPr>
        <w:t>—</w:t>
      </w:r>
      <w:r>
        <w:rPr>
          <w:rFonts w:hint="eastAsia" w:hAnsi="宋体"/>
          <w:sz w:val="21"/>
          <w:szCs w:val="21"/>
        </w:rPr>
        <w:t>标样稀释因子,</w:t>
      </w:r>
      <w:r>
        <w:rPr>
          <w:rFonts w:hint="eastAsia" w:hAnsi="宋体"/>
          <w:i/>
          <w:iCs/>
          <w:sz w:val="21"/>
          <w:szCs w:val="21"/>
        </w:rPr>
        <w:t>n</w:t>
      </w:r>
      <w:r>
        <w:rPr>
          <w:rFonts w:hint="eastAsia" w:hAnsi="宋体"/>
          <w:sz w:val="21"/>
          <w:szCs w:val="21"/>
        </w:rPr>
        <w:t>=50。</w:t>
      </w:r>
    </w:p>
    <w:p w14:paraId="6DB1264A">
      <w:pPr>
        <w:pStyle w:val="54"/>
        <w:spacing w:before="156" w:after="156"/>
        <w:rPr>
          <w:sz w:val="21"/>
          <w:szCs w:val="21"/>
        </w:rPr>
      </w:pPr>
      <w:r>
        <w:rPr>
          <w:rFonts w:hint="eastAsia"/>
          <w:sz w:val="21"/>
          <w:szCs w:val="21"/>
        </w:rPr>
        <w:t>允许差</w:t>
      </w:r>
    </w:p>
    <w:p w14:paraId="20FB924F">
      <w:pPr>
        <w:pStyle w:val="23"/>
        <w:rPr>
          <w:rFonts w:hAnsi="宋体" w:cs="宋体"/>
          <w:sz w:val="21"/>
          <w:szCs w:val="21"/>
        </w:rPr>
      </w:pPr>
      <w:r>
        <w:rPr>
          <w:rFonts w:hint="eastAsia" w:ascii="Times New Roman"/>
          <w:sz w:val="21"/>
          <w:szCs w:val="21"/>
        </w:rPr>
        <w:t>扑灭津、莠灭净和西草净质量分数</w:t>
      </w:r>
      <w:r>
        <w:rPr>
          <w:rFonts w:hint="eastAsia" w:hAnsi="宋体" w:cs="宋体"/>
          <w:sz w:val="21"/>
          <w:szCs w:val="21"/>
        </w:rPr>
        <w:t>两次平行测定结果之相对差应不大于10%，取其算术平均值作为测定结果。</w:t>
      </w:r>
    </w:p>
    <w:p w14:paraId="55957768">
      <w:pPr>
        <w:pStyle w:val="49"/>
        <w:spacing w:before="156" w:after="156"/>
        <w:rPr>
          <w:sz w:val="21"/>
          <w:szCs w:val="21"/>
        </w:rPr>
      </w:pPr>
      <w:r>
        <w:rPr>
          <w:rFonts w:hint="eastAsia"/>
          <w:sz w:val="21"/>
          <w:szCs w:val="21"/>
        </w:rPr>
        <w:t>氯化钠质量分数</w:t>
      </w:r>
    </w:p>
    <w:p w14:paraId="0539D334">
      <w:pPr>
        <w:pStyle w:val="54"/>
        <w:spacing w:before="156" w:after="156"/>
        <w:rPr>
          <w:sz w:val="21"/>
          <w:szCs w:val="21"/>
        </w:rPr>
      </w:pPr>
      <w:r>
        <w:rPr>
          <w:rFonts w:hint="eastAsia"/>
          <w:sz w:val="21"/>
          <w:szCs w:val="21"/>
        </w:rPr>
        <w:t>方法提要</w:t>
      </w:r>
    </w:p>
    <w:p w14:paraId="1E75C3B0">
      <w:pPr>
        <w:pStyle w:val="23"/>
        <w:rPr>
          <w:rFonts w:hAnsi="宋体"/>
          <w:sz w:val="21"/>
          <w:szCs w:val="21"/>
        </w:rPr>
      </w:pPr>
      <w:r>
        <w:rPr>
          <w:rFonts w:hint="eastAsia"/>
          <w:sz w:val="21"/>
          <w:szCs w:val="21"/>
        </w:rPr>
        <w:t>试样用无水乙醇溶解，</w:t>
      </w:r>
      <w:r>
        <w:rPr>
          <w:sz w:val="21"/>
          <w:szCs w:val="21"/>
        </w:rPr>
        <w:t>使用</w:t>
      </w:r>
      <w:r>
        <w:rPr>
          <w:rFonts w:hint="eastAsia"/>
          <w:sz w:val="21"/>
          <w:szCs w:val="21"/>
        </w:rPr>
        <w:t>带硝酸钾盐桥的甘汞电极，用硝酸银标准滴定液对样品进行电位滴定。</w:t>
      </w:r>
    </w:p>
    <w:p w14:paraId="25F0D7E7">
      <w:pPr>
        <w:pStyle w:val="54"/>
        <w:spacing w:before="156" w:after="156"/>
        <w:rPr>
          <w:sz w:val="21"/>
          <w:szCs w:val="21"/>
        </w:rPr>
      </w:pPr>
      <w:r>
        <w:rPr>
          <w:sz w:val="21"/>
          <w:szCs w:val="21"/>
        </w:rPr>
        <w:t>试剂和溶液</w:t>
      </w:r>
    </w:p>
    <w:p w14:paraId="4A4775E5">
      <w:pPr>
        <w:pStyle w:val="59"/>
        <w:numPr>
          <w:ilvl w:val="3"/>
          <w:numId w:val="1"/>
        </w:numPr>
        <w:tabs>
          <w:tab w:val="left" w:pos="0"/>
        </w:tabs>
        <w:spacing w:before="156" w:after="156"/>
        <w:rPr>
          <w:rFonts w:ascii="宋体" w:hAnsi="宋体" w:eastAsia="宋体" w:cs="宋体"/>
          <w:sz w:val="21"/>
          <w:szCs w:val="21"/>
        </w:rPr>
      </w:pPr>
      <w:r>
        <w:rPr>
          <w:rFonts w:hint="eastAsia" w:ascii="宋体" w:hAnsi="宋体" w:eastAsia="宋体" w:cs="宋体"/>
          <w:sz w:val="21"/>
          <w:szCs w:val="21"/>
        </w:rPr>
        <w:t>无水乙醇。</w:t>
      </w:r>
    </w:p>
    <w:p w14:paraId="4A3E5660">
      <w:pPr>
        <w:pStyle w:val="59"/>
        <w:numPr>
          <w:ilvl w:val="3"/>
          <w:numId w:val="1"/>
        </w:numPr>
        <w:tabs>
          <w:tab w:val="left" w:pos="0"/>
        </w:tabs>
        <w:spacing w:before="156" w:after="156"/>
        <w:rPr>
          <w:rFonts w:ascii="宋体" w:hAnsi="宋体" w:eastAsia="宋体" w:cs="宋体"/>
          <w:sz w:val="21"/>
          <w:szCs w:val="21"/>
        </w:rPr>
      </w:pPr>
      <w:r>
        <w:rPr>
          <w:rFonts w:hint="eastAsia" w:ascii="宋体" w:hAnsi="宋体" w:eastAsia="宋体" w:cs="宋体"/>
          <w:sz w:val="21"/>
          <w:szCs w:val="21"/>
        </w:rPr>
        <w:t>硫酸。</w:t>
      </w:r>
    </w:p>
    <w:p w14:paraId="70B438DE">
      <w:pPr>
        <w:pStyle w:val="59"/>
        <w:numPr>
          <w:ilvl w:val="3"/>
          <w:numId w:val="1"/>
        </w:numPr>
        <w:tabs>
          <w:tab w:val="left" w:pos="0"/>
        </w:tabs>
        <w:spacing w:before="156" w:after="156"/>
        <w:rPr>
          <w:sz w:val="21"/>
          <w:szCs w:val="21"/>
        </w:rPr>
      </w:pPr>
      <w:r>
        <w:rPr>
          <w:rFonts w:hint="eastAsia" w:ascii="宋体" w:hAnsi="宋体" w:eastAsia="宋体" w:cs="宋体"/>
          <w:sz w:val="21"/>
          <w:szCs w:val="21"/>
        </w:rPr>
        <w:t>硫酸溶液：</w:t>
      </w:r>
      <w:r>
        <w:rPr>
          <w:rFonts w:hint="eastAsia" w:ascii="宋体" w:hAnsi="宋体" w:eastAsia="宋体" w:cs="宋体"/>
          <w:i/>
          <w:iCs/>
          <w:sz w:val="21"/>
          <w:szCs w:val="21"/>
        </w:rPr>
        <w:t>ψ</w:t>
      </w:r>
      <w:r>
        <w:rPr>
          <w:rFonts w:hint="eastAsia" w:ascii="宋体" w:hAnsi="宋体" w:eastAsia="宋体" w:cs="宋体"/>
          <w:sz w:val="21"/>
          <w:szCs w:val="21"/>
        </w:rPr>
        <w:t>（硫酸：水）</w:t>
      </w:r>
      <w:r>
        <w:rPr>
          <w:rFonts w:ascii="宋体" w:hAnsi="宋体" w:eastAsia="宋体"/>
          <w:sz w:val="21"/>
          <w:szCs w:val="21"/>
        </w:rPr>
        <w:t>=</w:t>
      </w:r>
      <w:r>
        <w:rPr>
          <w:rFonts w:hint="eastAsia" w:ascii="宋体" w:hAnsi="宋体"/>
          <w:sz w:val="21"/>
          <w:szCs w:val="21"/>
        </w:rPr>
        <w:t>1：1。</w:t>
      </w:r>
    </w:p>
    <w:p w14:paraId="6C954FD8">
      <w:pPr>
        <w:pStyle w:val="59"/>
        <w:numPr>
          <w:ilvl w:val="3"/>
          <w:numId w:val="1"/>
        </w:numPr>
        <w:tabs>
          <w:tab w:val="left" w:pos="0"/>
        </w:tabs>
        <w:spacing w:before="156" w:after="156"/>
        <w:rPr>
          <w:rFonts w:ascii="宋体" w:eastAsia="宋体"/>
          <w:sz w:val="21"/>
          <w:szCs w:val="21"/>
        </w:rPr>
      </w:pPr>
      <w:r>
        <w:rPr>
          <w:rFonts w:hint="eastAsia" w:ascii="宋体" w:eastAsia="宋体"/>
          <w:sz w:val="21"/>
          <w:szCs w:val="21"/>
        </w:rPr>
        <w:t>盐酸标准溶液：0.1 mol/L,按GB/T 601—2016中4.2制备。</w:t>
      </w:r>
    </w:p>
    <w:p w14:paraId="56F8BF98">
      <w:pPr>
        <w:pStyle w:val="59"/>
        <w:numPr>
          <w:ilvl w:val="3"/>
          <w:numId w:val="1"/>
        </w:numPr>
        <w:tabs>
          <w:tab w:val="left" w:pos="0"/>
        </w:tabs>
        <w:spacing w:before="156" w:after="156"/>
        <w:rPr>
          <w:rFonts w:ascii="宋体" w:eastAsia="宋体"/>
          <w:sz w:val="21"/>
          <w:szCs w:val="21"/>
        </w:rPr>
      </w:pPr>
      <w:r>
        <w:rPr>
          <w:rFonts w:hint="eastAsia" w:ascii="宋体" w:eastAsia="宋体"/>
          <w:sz w:val="21"/>
          <w:szCs w:val="21"/>
        </w:rPr>
        <w:t>硝酸银标准滴定溶液：0.1 mol/L,按GB/T 601—2016中4.21制备。</w:t>
      </w:r>
    </w:p>
    <w:p w14:paraId="53F74E59">
      <w:pPr>
        <w:pStyle w:val="54"/>
        <w:spacing w:before="156" w:after="156"/>
        <w:rPr>
          <w:sz w:val="21"/>
          <w:szCs w:val="21"/>
        </w:rPr>
      </w:pPr>
      <w:r>
        <w:rPr>
          <w:sz w:val="21"/>
          <w:szCs w:val="21"/>
        </w:rPr>
        <w:t>仪器</w:t>
      </w:r>
    </w:p>
    <w:p w14:paraId="43B9E2C8">
      <w:pPr>
        <w:pStyle w:val="59"/>
        <w:numPr>
          <w:ilvl w:val="3"/>
          <w:numId w:val="1"/>
        </w:numPr>
        <w:tabs>
          <w:tab w:val="left" w:pos="0"/>
        </w:tabs>
        <w:spacing w:before="156" w:after="156"/>
        <w:rPr>
          <w:rFonts w:ascii="宋体" w:hAnsi="宋体" w:eastAsia="宋体" w:cs="宋体"/>
          <w:sz w:val="21"/>
          <w:szCs w:val="21"/>
        </w:rPr>
      </w:pPr>
      <w:r>
        <w:rPr>
          <w:rFonts w:hint="eastAsia" w:ascii="宋体" w:hAnsi="宋体" w:eastAsia="宋体" w:cs="宋体"/>
          <w:sz w:val="21"/>
          <w:szCs w:val="21"/>
        </w:rPr>
        <w:t>电位滴定仪：读数精确至2 mV。</w:t>
      </w:r>
    </w:p>
    <w:p w14:paraId="1FFEFF1B">
      <w:pPr>
        <w:pStyle w:val="59"/>
        <w:numPr>
          <w:ilvl w:val="3"/>
          <w:numId w:val="1"/>
        </w:numPr>
        <w:tabs>
          <w:tab w:val="left" w:pos="0"/>
        </w:tabs>
        <w:spacing w:before="156" w:after="156"/>
        <w:rPr>
          <w:rFonts w:ascii="宋体" w:hAnsi="宋体" w:eastAsia="宋体" w:cs="宋体"/>
          <w:sz w:val="21"/>
          <w:szCs w:val="21"/>
        </w:rPr>
      </w:pPr>
      <w:r>
        <w:rPr>
          <w:rFonts w:hint="eastAsia" w:ascii="宋体" w:hAnsi="宋体" w:eastAsia="宋体" w:cs="宋体"/>
          <w:sz w:val="21"/>
          <w:szCs w:val="21"/>
        </w:rPr>
        <w:t>参比电极：216型银电极。</w:t>
      </w:r>
    </w:p>
    <w:p w14:paraId="3D45C582">
      <w:pPr>
        <w:pStyle w:val="59"/>
        <w:numPr>
          <w:ilvl w:val="3"/>
          <w:numId w:val="1"/>
        </w:numPr>
        <w:tabs>
          <w:tab w:val="left" w:pos="0"/>
        </w:tabs>
        <w:spacing w:before="156" w:after="156"/>
        <w:rPr>
          <w:rFonts w:ascii="宋体" w:hAnsi="宋体" w:eastAsia="宋体" w:cs="宋体"/>
          <w:sz w:val="21"/>
          <w:szCs w:val="21"/>
        </w:rPr>
      </w:pPr>
      <w:r>
        <w:rPr>
          <w:rFonts w:hint="eastAsia" w:ascii="宋体" w:hAnsi="宋体" w:eastAsia="宋体" w:cs="宋体"/>
          <w:sz w:val="21"/>
          <w:szCs w:val="21"/>
        </w:rPr>
        <w:t>指示电极：217型或其它带有硝酸钾盐桥的甘汞电极。</w:t>
      </w:r>
    </w:p>
    <w:p w14:paraId="22309BC5">
      <w:pPr>
        <w:pStyle w:val="59"/>
        <w:numPr>
          <w:ilvl w:val="3"/>
          <w:numId w:val="1"/>
        </w:numPr>
        <w:tabs>
          <w:tab w:val="left" w:pos="0"/>
        </w:tabs>
        <w:spacing w:before="156" w:after="156"/>
        <w:rPr>
          <w:rFonts w:ascii="宋体" w:hAnsi="宋体" w:eastAsia="宋体" w:cs="宋体"/>
          <w:sz w:val="21"/>
          <w:szCs w:val="21"/>
        </w:rPr>
      </w:pPr>
      <w:r>
        <w:rPr>
          <w:rFonts w:hint="eastAsia" w:ascii="宋体" w:hAnsi="宋体" w:eastAsia="宋体" w:cs="宋体"/>
          <w:sz w:val="21"/>
          <w:szCs w:val="21"/>
        </w:rPr>
        <w:t>酸度计。</w:t>
      </w:r>
    </w:p>
    <w:p w14:paraId="03E515A2">
      <w:pPr>
        <w:pStyle w:val="59"/>
        <w:numPr>
          <w:ilvl w:val="3"/>
          <w:numId w:val="1"/>
        </w:numPr>
        <w:tabs>
          <w:tab w:val="left" w:pos="0"/>
        </w:tabs>
        <w:spacing w:before="156" w:after="156"/>
        <w:rPr>
          <w:sz w:val="21"/>
          <w:szCs w:val="21"/>
        </w:rPr>
      </w:pPr>
      <w:r>
        <w:rPr>
          <w:rFonts w:hint="eastAsia" w:ascii="宋体" w:hAnsi="宋体" w:eastAsia="宋体" w:cs="宋体"/>
          <w:sz w:val="21"/>
          <w:szCs w:val="21"/>
        </w:rPr>
        <w:t>移液器:5 mL。</w:t>
      </w:r>
    </w:p>
    <w:p w14:paraId="21FB3E68">
      <w:pPr>
        <w:pStyle w:val="54"/>
        <w:spacing w:before="156" w:after="156"/>
        <w:rPr>
          <w:sz w:val="21"/>
          <w:szCs w:val="21"/>
        </w:rPr>
      </w:pPr>
      <w:r>
        <w:rPr>
          <w:rFonts w:hint="eastAsia"/>
          <w:sz w:val="21"/>
          <w:szCs w:val="21"/>
        </w:rPr>
        <w:t>测定步骤</w:t>
      </w:r>
    </w:p>
    <w:p w14:paraId="603FA4BA">
      <w:pPr>
        <w:pStyle w:val="23"/>
        <w:rPr>
          <w:rFonts w:hAnsi="宋体" w:cs="宋体"/>
          <w:sz w:val="21"/>
          <w:szCs w:val="21"/>
        </w:rPr>
      </w:pPr>
      <w:r>
        <w:rPr>
          <w:rFonts w:hint="eastAsia" w:hAnsi="宋体" w:cs="宋体"/>
          <w:sz w:val="21"/>
          <w:szCs w:val="21"/>
        </w:rPr>
        <w:t>称取</w:t>
      </w:r>
      <w:r>
        <w:rPr>
          <w:rFonts w:hint="eastAsia" w:hAnsi="宋体" w:cs="宋体"/>
          <w:sz w:val="21"/>
          <w:szCs w:val="21"/>
          <w:lang w:val="en-US" w:eastAsia="zh-CN"/>
        </w:rPr>
        <w:t>2</w:t>
      </w:r>
      <w:bookmarkStart w:id="92" w:name="_GoBack"/>
      <w:bookmarkEnd w:id="92"/>
      <w:r>
        <w:rPr>
          <w:rFonts w:hint="eastAsia" w:hAnsi="宋体" w:cs="宋体"/>
          <w:sz w:val="21"/>
          <w:szCs w:val="21"/>
        </w:rPr>
        <w:t xml:space="preserve"> g（精确至0.0001 g）的试样，于250 mL烧杯中，加入20 mL无水乙醇溶解，加水80 mL，用硫酸溶液酸化至pH值为pH</w:t>
      </w:r>
      <w:r>
        <w:rPr>
          <w:rFonts w:hint="eastAsia" w:hAnsi="宋体" w:cs="宋体"/>
          <w:sz w:val="21"/>
          <w:szCs w:val="21"/>
          <w:lang w:val="en-US" w:eastAsia="zh-CN"/>
        </w:rPr>
        <w:t xml:space="preserve"> </w:t>
      </w:r>
      <w:r>
        <w:rPr>
          <w:rFonts w:hint="eastAsia" w:hAnsi="宋体" w:cs="宋体"/>
          <w:sz w:val="21"/>
          <w:szCs w:val="21"/>
        </w:rPr>
        <w:t>1</w:t>
      </w:r>
      <w:r>
        <w:rPr>
          <w:rFonts w:ascii="Times New Roman"/>
          <w:sz w:val="21"/>
          <w:szCs w:val="21"/>
        </w:rPr>
        <w:t>~</w:t>
      </w:r>
      <w:r>
        <w:rPr>
          <w:rFonts w:hint="eastAsia" w:hAnsi="宋体" w:cs="宋体"/>
          <w:sz w:val="21"/>
          <w:szCs w:val="21"/>
        </w:rPr>
        <w:t>pH</w:t>
      </w:r>
      <w:r>
        <w:rPr>
          <w:rFonts w:hint="eastAsia" w:hAnsi="宋体" w:cs="宋体"/>
          <w:sz w:val="21"/>
          <w:szCs w:val="21"/>
          <w:lang w:val="en-US" w:eastAsia="zh-CN"/>
        </w:rPr>
        <w:t xml:space="preserve"> </w:t>
      </w:r>
      <w:r>
        <w:rPr>
          <w:rFonts w:hint="eastAsia" w:hAnsi="宋体" w:cs="宋体"/>
          <w:sz w:val="21"/>
          <w:szCs w:val="21"/>
        </w:rPr>
        <w:t>2。精确加入2 mL盐酸标准溶液，用硝酸银标准滴定溶液进行电位滴定。</w:t>
      </w:r>
    </w:p>
    <w:p w14:paraId="62FFE8BF">
      <w:pPr>
        <w:pStyle w:val="54"/>
        <w:spacing w:before="156" w:after="156"/>
        <w:rPr>
          <w:sz w:val="21"/>
          <w:szCs w:val="21"/>
        </w:rPr>
      </w:pPr>
      <w:r>
        <w:rPr>
          <w:rFonts w:hint="eastAsia"/>
          <w:sz w:val="21"/>
          <w:szCs w:val="21"/>
        </w:rPr>
        <w:t>计算</w:t>
      </w:r>
    </w:p>
    <w:p w14:paraId="4742F016">
      <w:pPr>
        <w:pStyle w:val="23"/>
        <w:rPr>
          <w:sz w:val="21"/>
          <w:szCs w:val="21"/>
        </w:rPr>
      </w:pPr>
      <w:r>
        <w:rPr>
          <w:rFonts w:hint="eastAsia"/>
          <w:sz w:val="21"/>
          <w:szCs w:val="21"/>
        </w:rPr>
        <w:t>样品中氯化钠的质量分数按公式</w:t>
      </w:r>
      <w:r>
        <w:rPr>
          <w:rFonts w:hint="eastAsia" w:hAnsi="宋体" w:cs="宋体"/>
          <w:sz w:val="21"/>
          <w:szCs w:val="21"/>
        </w:rPr>
        <w:t>（4）</w:t>
      </w:r>
      <w:r>
        <w:rPr>
          <w:rFonts w:hint="eastAsia"/>
          <w:sz w:val="21"/>
          <w:szCs w:val="21"/>
        </w:rPr>
        <w:t>计算：</w:t>
      </w:r>
    </w:p>
    <w:p w14:paraId="0B4EB34C">
      <w:pPr>
        <w:pStyle w:val="23"/>
        <w:jc w:val="right"/>
        <w:rPr>
          <w:rFonts w:hAnsi="宋体" w:cs="宋体"/>
          <w:sz w:val="21"/>
          <w:szCs w:val="21"/>
        </w:rPr>
      </w:pPr>
      <w:r>
        <w:rPr>
          <w:rFonts w:hint="eastAsia" w:hAnsi="宋体" w:cs="宋体"/>
          <w:position w:val="-30"/>
          <w:sz w:val="21"/>
          <w:szCs w:val="21"/>
        </w:rPr>
        <w:object>
          <v:shape id="_x0000_i1028" o:spt="75" type="#_x0000_t75" style="height:34pt;width:133.35pt;" o:ole="t" filled="f" o:preferrelative="t" stroked="f" coordsize="21600,21600">
            <v:path/>
            <v:fill on="f" focussize="0,0"/>
            <v:stroke on="f" joinstyle="miter"/>
            <v:imagedata r:id="rId22" o:title=""/>
            <o:lock v:ext="edit" aspectratio="t"/>
            <w10:wrap type="none"/>
            <w10:anchorlock/>
          </v:shape>
          <o:OLEObject Type="Embed" ProgID="Equation.3" ShapeID="_x0000_i1028" DrawAspect="Content" ObjectID="_1468075728" r:id="rId21">
            <o:LockedField>false</o:LockedField>
          </o:OLEObject>
        </w:object>
      </w:r>
      <w:r>
        <w:rPr>
          <w:rFonts w:ascii="Times New Roman"/>
          <w:sz w:val="21"/>
          <w:szCs w:val="21"/>
        </w:rPr>
        <w:t>...................</w:t>
      </w:r>
      <w:r>
        <w:rPr>
          <w:rFonts w:hint="eastAsia" w:ascii="Times New Roman"/>
          <w:sz w:val="21"/>
          <w:szCs w:val="21"/>
        </w:rPr>
        <w:t>..............</w:t>
      </w:r>
      <w:r>
        <w:rPr>
          <w:rFonts w:ascii="Times New Roman"/>
          <w:sz w:val="21"/>
          <w:szCs w:val="21"/>
        </w:rPr>
        <w:t>....</w:t>
      </w:r>
      <w:r>
        <w:rPr>
          <w:rFonts w:hint="eastAsia" w:ascii="Times New Roman"/>
          <w:sz w:val="21"/>
          <w:szCs w:val="21"/>
        </w:rPr>
        <w:t>......</w:t>
      </w:r>
      <w:r>
        <w:rPr>
          <w:rFonts w:ascii="Times New Roman"/>
          <w:sz w:val="21"/>
          <w:szCs w:val="21"/>
        </w:rPr>
        <w:t>......</w:t>
      </w:r>
      <w:r>
        <w:rPr>
          <w:rFonts w:hint="eastAsia" w:hAnsi="宋体" w:cs="宋体"/>
          <w:sz w:val="21"/>
          <w:szCs w:val="21"/>
        </w:rPr>
        <w:t>（4）</w:t>
      </w:r>
    </w:p>
    <w:p w14:paraId="3D27E7BA">
      <w:pPr>
        <w:pStyle w:val="23"/>
        <w:rPr>
          <w:rFonts w:hAnsi="宋体"/>
          <w:sz w:val="21"/>
          <w:szCs w:val="21"/>
        </w:rPr>
      </w:pPr>
      <w:r>
        <w:rPr>
          <w:rFonts w:hAnsi="宋体"/>
          <w:sz w:val="21"/>
          <w:szCs w:val="21"/>
        </w:rPr>
        <w:pict>
          <v:line id="_x0000_s1030" o:spid="_x0000_s1030" o:spt="20" style="position:absolute;left:0pt;margin-left:31.5pt;margin-top:3.65pt;height:0pt;width:0.05pt;z-index:251667456;mso-width-relative:page;mso-height-relative:page;" coordsize="21600,21600" o:allowincell="f" o:gfxdata="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qgZv6dMAAAAFAQAADwAAAAAAAAABACAAAAAiAAAAZHJzL2Rvd25yZXYu&#10;eG1sUEsBAhQAFAAAAAgAh07iQFOjD0nHAQAAqQMAAA4AAAAAAAAAAQAgAAAAIgEAAGRycy9lMm9E&#10;b2MueG1sUEsFBgAAAAAGAAYAWQEAAFsFAAAAAA==&#10;">
            <v:path arrowok="t"/>
            <v:fill focussize="0,0"/>
            <v:stroke/>
            <v:imagedata o:title=""/>
            <o:lock v:ext="edit"/>
          </v:line>
        </w:pict>
      </w:r>
      <w:r>
        <w:rPr>
          <w:rFonts w:hAnsi="宋体"/>
          <w:sz w:val="21"/>
          <w:szCs w:val="21"/>
        </w:rPr>
        <w:t xml:space="preserve">式中： </w:t>
      </w:r>
    </w:p>
    <w:p w14:paraId="5A0FEB27">
      <w:pPr>
        <w:pStyle w:val="23"/>
        <w:rPr>
          <w:rFonts w:hAnsi="宋体"/>
          <w:sz w:val="21"/>
          <w:szCs w:val="21"/>
        </w:rPr>
      </w:pPr>
      <w:r>
        <w:rPr>
          <w:rFonts w:hint="eastAsia" w:hAnsi="宋体"/>
          <w:i/>
          <w:iCs/>
          <w:sz w:val="21"/>
          <w:szCs w:val="21"/>
        </w:rPr>
        <w:t>w</w:t>
      </w:r>
      <w:r>
        <w:rPr>
          <w:rFonts w:hint="eastAsia" w:hAnsi="宋体"/>
          <w:sz w:val="21"/>
          <w:szCs w:val="21"/>
          <w:vertAlign w:val="subscript"/>
        </w:rPr>
        <w:t>3</w:t>
      </w:r>
      <w:r>
        <w:rPr>
          <w:rFonts w:hAnsi="宋体"/>
          <w:spacing w:val="-60"/>
          <w:sz w:val="21"/>
          <w:szCs w:val="21"/>
        </w:rPr>
        <w:t>—</w:t>
      </w:r>
      <w:r>
        <w:rPr>
          <w:rFonts w:hAnsi="宋体"/>
          <w:sz w:val="21"/>
          <w:szCs w:val="21"/>
        </w:rPr>
        <w:t>—</w:t>
      </w:r>
      <w:r>
        <w:rPr>
          <w:rFonts w:hint="eastAsia" w:hAnsi="宋体"/>
          <w:sz w:val="21"/>
          <w:szCs w:val="21"/>
        </w:rPr>
        <w:t>试样中</w:t>
      </w:r>
      <w:r>
        <w:rPr>
          <w:rFonts w:hint="eastAsia" w:ascii="Times New Roman"/>
          <w:sz w:val="21"/>
          <w:szCs w:val="21"/>
        </w:rPr>
        <w:t>氯化钠的</w:t>
      </w:r>
      <w:r>
        <w:rPr>
          <w:rFonts w:hAnsi="宋体"/>
          <w:sz w:val="21"/>
          <w:szCs w:val="21"/>
        </w:rPr>
        <w:t>质量分数，%；</w:t>
      </w:r>
    </w:p>
    <w:p w14:paraId="64E746DA">
      <w:pPr>
        <w:pStyle w:val="23"/>
        <w:jc w:val="left"/>
        <w:rPr>
          <w:rFonts w:hAnsi="宋体"/>
          <w:sz w:val="21"/>
          <w:szCs w:val="21"/>
        </w:rPr>
      </w:pPr>
      <w:r>
        <w:rPr>
          <w:rFonts w:hint="eastAsia" w:hAnsi="宋体"/>
          <w:i/>
          <w:sz w:val="21"/>
          <w:szCs w:val="21"/>
        </w:rPr>
        <w:t>V</w:t>
      </w:r>
      <w:r>
        <w:rPr>
          <w:rFonts w:hint="eastAsia" w:hAnsi="宋体"/>
          <w:iCs/>
          <w:sz w:val="21"/>
          <w:szCs w:val="21"/>
          <w:vertAlign w:val="subscript"/>
        </w:rPr>
        <w:t>1</w:t>
      </w:r>
      <w:r>
        <w:rPr>
          <w:rFonts w:hAnsi="宋体"/>
          <w:spacing w:val="-60"/>
          <w:sz w:val="21"/>
          <w:szCs w:val="21"/>
        </w:rPr>
        <w:t>—</w:t>
      </w:r>
      <w:r>
        <w:rPr>
          <w:rFonts w:hAnsi="宋体"/>
          <w:sz w:val="21"/>
          <w:szCs w:val="21"/>
        </w:rPr>
        <w:t>—</w:t>
      </w:r>
      <w:r>
        <w:rPr>
          <w:rFonts w:hint="eastAsia" w:hAnsi="宋体"/>
          <w:sz w:val="21"/>
          <w:szCs w:val="21"/>
        </w:rPr>
        <w:t>滴定中消耗硝酸银标准溶液体积的数值，单位为毫升（mL）；</w:t>
      </w:r>
    </w:p>
    <w:p w14:paraId="65023329">
      <w:pPr>
        <w:pStyle w:val="23"/>
        <w:jc w:val="left"/>
        <w:rPr>
          <w:rFonts w:hAnsi="宋体"/>
          <w:sz w:val="21"/>
          <w:szCs w:val="21"/>
        </w:rPr>
      </w:pPr>
      <w:r>
        <w:rPr>
          <w:rFonts w:hint="eastAsia" w:hAnsi="宋体"/>
          <w:i/>
          <w:iCs/>
          <w:sz w:val="21"/>
          <w:szCs w:val="21"/>
        </w:rPr>
        <w:t>c</w:t>
      </w:r>
      <w:r>
        <w:rPr>
          <w:rFonts w:hint="eastAsia" w:hAnsi="宋体"/>
          <w:sz w:val="21"/>
          <w:szCs w:val="21"/>
          <w:vertAlign w:val="subscript"/>
        </w:rPr>
        <w:t>1</w:t>
      </w:r>
      <w:r>
        <w:rPr>
          <w:rFonts w:hAnsi="宋体"/>
          <w:spacing w:val="-60"/>
          <w:sz w:val="21"/>
          <w:szCs w:val="21"/>
        </w:rPr>
        <w:t>—</w:t>
      </w:r>
      <w:r>
        <w:rPr>
          <w:rFonts w:hAnsi="宋体"/>
          <w:sz w:val="21"/>
          <w:szCs w:val="21"/>
        </w:rPr>
        <w:t>—</w:t>
      </w:r>
      <w:r>
        <w:rPr>
          <w:rFonts w:hint="eastAsia" w:hAnsi="宋体"/>
          <w:sz w:val="21"/>
          <w:szCs w:val="21"/>
        </w:rPr>
        <w:t>硝酸银标准滴定溶液摩尔浓度的数值，单位为摩尔/升（mol/L）；</w:t>
      </w:r>
    </w:p>
    <w:p w14:paraId="573B83BB">
      <w:pPr>
        <w:pStyle w:val="23"/>
        <w:jc w:val="left"/>
        <w:rPr>
          <w:rFonts w:hAnsi="宋体"/>
          <w:sz w:val="21"/>
          <w:szCs w:val="21"/>
        </w:rPr>
      </w:pPr>
      <w:r>
        <w:rPr>
          <w:rFonts w:hint="eastAsia" w:hAnsi="宋体"/>
          <w:i/>
          <w:sz w:val="21"/>
          <w:szCs w:val="21"/>
        </w:rPr>
        <w:t>V</w:t>
      </w:r>
      <w:r>
        <w:rPr>
          <w:rFonts w:hint="eastAsia" w:hAnsi="宋体"/>
          <w:iCs/>
          <w:sz w:val="21"/>
          <w:szCs w:val="21"/>
          <w:vertAlign w:val="subscript"/>
        </w:rPr>
        <w:t>2</w:t>
      </w:r>
      <w:r>
        <w:rPr>
          <w:rFonts w:hAnsi="宋体"/>
          <w:spacing w:val="-60"/>
          <w:sz w:val="21"/>
          <w:szCs w:val="21"/>
        </w:rPr>
        <w:t>—</w:t>
      </w:r>
      <w:r>
        <w:rPr>
          <w:rFonts w:hAnsi="宋体"/>
          <w:sz w:val="21"/>
          <w:szCs w:val="21"/>
        </w:rPr>
        <w:t>—</w:t>
      </w:r>
      <w:r>
        <w:rPr>
          <w:rFonts w:hint="eastAsia" w:hAnsi="宋体"/>
          <w:sz w:val="21"/>
          <w:szCs w:val="21"/>
        </w:rPr>
        <w:t>加入试样中盐酸标准溶体积的数值，单位为毫升（mL）；</w:t>
      </w:r>
    </w:p>
    <w:p w14:paraId="7E8854CC">
      <w:pPr>
        <w:pStyle w:val="23"/>
        <w:jc w:val="left"/>
        <w:rPr>
          <w:rFonts w:hAnsi="宋体"/>
          <w:sz w:val="21"/>
          <w:szCs w:val="21"/>
        </w:rPr>
      </w:pPr>
      <w:r>
        <w:rPr>
          <w:rFonts w:hint="eastAsia" w:hAnsi="宋体"/>
          <w:i/>
          <w:iCs/>
          <w:sz w:val="21"/>
          <w:szCs w:val="21"/>
        </w:rPr>
        <w:t>c</w:t>
      </w:r>
      <w:r>
        <w:rPr>
          <w:rFonts w:hint="eastAsia" w:hAnsi="宋体"/>
          <w:sz w:val="21"/>
          <w:szCs w:val="21"/>
          <w:vertAlign w:val="subscript"/>
        </w:rPr>
        <w:t>2</w:t>
      </w:r>
      <w:r>
        <w:rPr>
          <w:rFonts w:hAnsi="宋体"/>
          <w:spacing w:val="-60"/>
          <w:sz w:val="21"/>
          <w:szCs w:val="21"/>
        </w:rPr>
        <w:t>—</w:t>
      </w:r>
      <w:r>
        <w:rPr>
          <w:rFonts w:hAnsi="宋体"/>
          <w:sz w:val="21"/>
          <w:szCs w:val="21"/>
        </w:rPr>
        <w:t>—</w:t>
      </w:r>
      <w:r>
        <w:rPr>
          <w:rFonts w:hint="eastAsia" w:hAnsi="宋体"/>
          <w:sz w:val="21"/>
          <w:szCs w:val="21"/>
        </w:rPr>
        <w:t>盐酸标准溶液摩尔浓度的数值，单位为摩尔/升（mol/L）；</w:t>
      </w:r>
    </w:p>
    <w:p w14:paraId="476A27C6">
      <w:pPr>
        <w:pStyle w:val="23"/>
        <w:jc w:val="left"/>
        <w:rPr>
          <w:rFonts w:hAnsi="宋体"/>
          <w:sz w:val="21"/>
          <w:szCs w:val="21"/>
        </w:rPr>
      </w:pPr>
      <w:r>
        <w:rPr>
          <w:rFonts w:hint="eastAsia" w:hAnsi="宋体"/>
          <w:i/>
          <w:iCs/>
          <w:sz w:val="21"/>
          <w:szCs w:val="21"/>
        </w:rPr>
        <w:t>m</w:t>
      </w:r>
      <w:r>
        <w:rPr>
          <w:rFonts w:hint="eastAsia" w:hAnsi="宋体"/>
          <w:sz w:val="21"/>
          <w:szCs w:val="21"/>
          <w:vertAlign w:val="subscript"/>
        </w:rPr>
        <w:t>7</w:t>
      </w:r>
      <w:r>
        <w:rPr>
          <w:rFonts w:hAnsi="宋体"/>
          <w:spacing w:val="-60"/>
          <w:sz w:val="21"/>
          <w:szCs w:val="21"/>
        </w:rPr>
        <w:t>—</w:t>
      </w:r>
      <w:r>
        <w:rPr>
          <w:rFonts w:hAnsi="宋体"/>
          <w:sz w:val="21"/>
          <w:szCs w:val="21"/>
        </w:rPr>
        <w:t>—</w:t>
      </w:r>
      <w:r>
        <w:rPr>
          <w:rFonts w:hint="eastAsia" w:hAnsi="宋体"/>
          <w:sz w:val="21"/>
          <w:szCs w:val="21"/>
        </w:rPr>
        <w:t>试样质量的数值，</w:t>
      </w:r>
      <w:r>
        <w:rPr>
          <w:rFonts w:hAnsi="宋体"/>
          <w:sz w:val="21"/>
          <w:szCs w:val="21"/>
        </w:rPr>
        <w:t>单位为克</w:t>
      </w:r>
      <w:r>
        <w:rPr>
          <w:rFonts w:hint="eastAsia" w:hAnsi="宋体"/>
          <w:sz w:val="21"/>
          <w:szCs w:val="21"/>
        </w:rPr>
        <w:t>（</w:t>
      </w:r>
      <w:r>
        <w:rPr>
          <w:rFonts w:hAnsi="宋体"/>
          <w:sz w:val="21"/>
          <w:szCs w:val="21"/>
        </w:rPr>
        <w:t>g</w:t>
      </w:r>
      <w:r>
        <w:rPr>
          <w:rFonts w:hint="eastAsia" w:hAnsi="宋体"/>
          <w:sz w:val="21"/>
          <w:szCs w:val="21"/>
        </w:rPr>
        <w:t>）；</w:t>
      </w:r>
    </w:p>
    <w:p w14:paraId="0C8A0477">
      <w:pPr>
        <w:pStyle w:val="23"/>
        <w:jc w:val="left"/>
        <w:rPr>
          <w:rFonts w:hAnsi="宋体"/>
          <w:sz w:val="21"/>
          <w:szCs w:val="21"/>
        </w:rPr>
      </w:pPr>
      <w:r>
        <w:rPr>
          <w:rFonts w:hint="eastAsia" w:hAnsi="宋体"/>
          <w:sz w:val="21"/>
          <w:szCs w:val="21"/>
        </w:rPr>
        <w:t>58.5</w:t>
      </w:r>
      <w:r>
        <w:rPr>
          <w:rFonts w:hAnsi="宋体"/>
          <w:spacing w:val="-60"/>
          <w:sz w:val="21"/>
          <w:szCs w:val="21"/>
        </w:rPr>
        <w:t>—</w:t>
      </w:r>
      <w:r>
        <w:rPr>
          <w:rFonts w:hAnsi="宋体"/>
          <w:sz w:val="21"/>
          <w:szCs w:val="21"/>
        </w:rPr>
        <w:t>—</w:t>
      </w:r>
      <w:r>
        <w:rPr>
          <w:rFonts w:hint="eastAsia" w:hAnsi="宋体"/>
          <w:sz w:val="21"/>
          <w:szCs w:val="21"/>
        </w:rPr>
        <w:t>氯化钠的摩尔质量，单位为克/摩尔（g/mol）；</w:t>
      </w:r>
    </w:p>
    <w:p w14:paraId="53567A72">
      <w:pPr>
        <w:pStyle w:val="23"/>
        <w:jc w:val="left"/>
        <w:rPr>
          <w:rFonts w:hAnsi="宋体"/>
          <w:sz w:val="21"/>
          <w:szCs w:val="21"/>
        </w:rPr>
      </w:pPr>
      <w:r>
        <w:rPr>
          <w:rFonts w:hint="eastAsia" w:hAnsi="宋体"/>
          <w:sz w:val="21"/>
          <w:szCs w:val="21"/>
        </w:rPr>
        <w:t>10</w:t>
      </w:r>
      <w:r>
        <w:rPr>
          <w:rFonts w:hAnsi="宋体"/>
          <w:spacing w:val="-60"/>
          <w:sz w:val="21"/>
          <w:szCs w:val="21"/>
        </w:rPr>
        <w:t>—</w:t>
      </w:r>
      <w:r>
        <w:rPr>
          <w:rFonts w:hAnsi="宋体"/>
          <w:sz w:val="21"/>
          <w:szCs w:val="21"/>
        </w:rPr>
        <w:t>—</w:t>
      </w:r>
      <w:r>
        <w:rPr>
          <w:rFonts w:hint="eastAsia" w:hAnsi="宋体"/>
          <w:sz w:val="21"/>
          <w:szCs w:val="21"/>
        </w:rPr>
        <w:t>换算系数。</w:t>
      </w:r>
    </w:p>
    <w:p w14:paraId="36D817B8">
      <w:pPr>
        <w:pStyle w:val="54"/>
        <w:spacing w:before="156" w:after="156"/>
        <w:rPr>
          <w:sz w:val="21"/>
          <w:szCs w:val="21"/>
        </w:rPr>
      </w:pPr>
      <w:r>
        <w:rPr>
          <w:rFonts w:hint="eastAsia"/>
          <w:sz w:val="21"/>
          <w:szCs w:val="21"/>
        </w:rPr>
        <w:t>允许差</w:t>
      </w:r>
    </w:p>
    <w:p w14:paraId="46689DF9">
      <w:pPr>
        <w:pStyle w:val="23"/>
        <w:rPr>
          <w:rFonts w:ascii="Times New Roman"/>
          <w:sz w:val="21"/>
          <w:szCs w:val="21"/>
        </w:rPr>
      </w:pPr>
      <w:r>
        <w:rPr>
          <w:rFonts w:hint="eastAsia"/>
          <w:sz w:val="21"/>
          <w:szCs w:val="21"/>
        </w:rPr>
        <w:t>氯化钠两次</w:t>
      </w:r>
      <w:r>
        <w:rPr>
          <w:rFonts w:hint="eastAsia" w:hAnsi="宋体" w:cs="宋体"/>
          <w:sz w:val="21"/>
          <w:szCs w:val="21"/>
        </w:rPr>
        <w:t>平行测定结果之相对差应不大于20%，取其算术平均值作为测定结果</w:t>
      </w:r>
      <w:r>
        <w:rPr>
          <w:rFonts w:ascii="Times New Roman"/>
          <w:sz w:val="21"/>
          <w:szCs w:val="21"/>
        </w:rPr>
        <w:t>。</w:t>
      </w:r>
    </w:p>
    <w:p w14:paraId="477F7569">
      <w:pPr>
        <w:pStyle w:val="49"/>
        <w:spacing w:before="156" w:after="156"/>
        <w:rPr>
          <w:sz w:val="21"/>
          <w:szCs w:val="21"/>
        </w:rPr>
      </w:pPr>
      <w:bookmarkStart w:id="62" w:name="_Toc458086746"/>
      <w:bookmarkStart w:id="63" w:name="_Toc440293254"/>
      <w:bookmarkStart w:id="64" w:name="_Toc457491884"/>
      <w:r>
        <w:rPr>
          <w:rFonts w:hint="eastAsia"/>
          <w:sz w:val="21"/>
          <w:szCs w:val="21"/>
        </w:rPr>
        <w:t>水分</w:t>
      </w:r>
    </w:p>
    <w:p w14:paraId="4E043A58">
      <w:pPr>
        <w:pStyle w:val="23"/>
        <w:rPr>
          <w:sz w:val="21"/>
          <w:szCs w:val="21"/>
        </w:rPr>
      </w:pPr>
      <w:r>
        <w:rPr>
          <w:rFonts w:hint="eastAsia" w:hAnsi="宋体"/>
          <w:sz w:val="21"/>
          <w:szCs w:val="21"/>
        </w:rPr>
        <w:t xml:space="preserve">按 </w:t>
      </w:r>
      <w:r>
        <w:rPr>
          <w:rFonts w:hAnsi="宋体"/>
          <w:sz w:val="21"/>
          <w:szCs w:val="21"/>
        </w:rPr>
        <w:t>GB/T 160</w:t>
      </w:r>
      <w:r>
        <w:rPr>
          <w:rFonts w:hint="eastAsia" w:hAnsi="宋体"/>
          <w:sz w:val="21"/>
          <w:szCs w:val="21"/>
        </w:rPr>
        <w:t>0—20</w:t>
      </w:r>
      <w:r>
        <w:rPr>
          <w:rFonts w:hAnsi="宋体"/>
          <w:sz w:val="21"/>
          <w:szCs w:val="21"/>
        </w:rPr>
        <w:t>21</w:t>
      </w:r>
      <w:r>
        <w:rPr>
          <w:rFonts w:hint="eastAsia" w:hAnsi="宋体"/>
          <w:sz w:val="21"/>
          <w:szCs w:val="21"/>
        </w:rPr>
        <w:t>中</w:t>
      </w:r>
      <w:r>
        <w:rPr>
          <w:rFonts w:hAnsi="宋体"/>
          <w:sz w:val="21"/>
          <w:szCs w:val="21"/>
        </w:rPr>
        <w:t>4.2</w:t>
      </w:r>
      <w:r>
        <w:rPr>
          <w:rFonts w:hint="eastAsia" w:hAnsi="宋体"/>
          <w:sz w:val="21"/>
          <w:szCs w:val="21"/>
        </w:rPr>
        <w:t>进行。</w:t>
      </w:r>
    </w:p>
    <w:p w14:paraId="31B1A45B">
      <w:pPr>
        <w:pStyle w:val="49"/>
        <w:spacing w:before="156" w:after="156"/>
        <w:rPr>
          <w:sz w:val="21"/>
          <w:szCs w:val="21"/>
        </w:rPr>
      </w:pPr>
      <w:r>
        <w:rPr>
          <w:rFonts w:hint="eastAsia"/>
          <w:i/>
          <w:sz w:val="21"/>
          <w:szCs w:val="21"/>
        </w:rPr>
        <w:t>N</w:t>
      </w:r>
      <w:r>
        <w:rPr>
          <w:rFonts w:hint="eastAsia"/>
          <w:sz w:val="21"/>
          <w:szCs w:val="21"/>
        </w:rPr>
        <w:t>,</w:t>
      </w:r>
      <w:r>
        <w:rPr>
          <w:rFonts w:hint="eastAsia"/>
          <w:i/>
          <w:sz w:val="21"/>
          <w:szCs w:val="21"/>
        </w:rPr>
        <w:t>N</w:t>
      </w:r>
      <w:r>
        <w:rPr>
          <w:rFonts w:hint="eastAsia"/>
          <w:sz w:val="21"/>
          <w:szCs w:val="21"/>
        </w:rPr>
        <w:t>-二甲基甲酰胺不溶物</w:t>
      </w:r>
    </w:p>
    <w:p w14:paraId="7A647558">
      <w:pPr>
        <w:pStyle w:val="23"/>
        <w:rPr>
          <w:rFonts w:hAnsi="宋体" w:cs="Arial"/>
          <w:sz w:val="21"/>
          <w:szCs w:val="21"/>
        </w:rPr>
      </w:pPr>
      <w:r>
        <w:rPr>
          <w:rFonts w:hint="eastAsia" w:hAnsi="宋体" w:cs="宋体"/>
          <w:sz w:val="21"/>
          <w:szCs w:val="21"/>
        </w:rPr>
        <w:t xml:space="preserve">按 </w:t>
      </w:r>
      <w:r>
        <w:rPr>
          <w:rFonts w:hint="eastAsia" w:hAnsi="宋体"/>
          <w:sz w:val="21"/>
          <w:szCs w:val="21"/>
        </w:rPr>
        <w:t>GB/T 43179—2023中第6章</w:t>
      </w:r>
      <w:r>
        <w:rPr>
          <w:rFonts w:hint="eastAsia" w:hAnsi="宋体" w:cs="宋体"/>
          <w:sz w:val="21"/>
          <w:szCs w:val="21"/>
        </w:rPr>
        <w:t>进行。</w:t>
      </w:r>
    </w:p>
    <w:p w14:paraId="3A739995">
      <w:pPr>
        <w:pStyle w:val="49"/>
        <w:spacing w:before="156" w:after="156"/>
        <w:rPr>
          <w:sz w:val="21"/>
          <w:szCs w:val="21"/>
        </w:rPr>
      </w:pPr>
      <w:r>
        <w:rPr>
          <w:sz w:val="21"/>
          <w:szCs w:val="21"/>
        </w:rPr>
        <w:t>pH</w:t>
      </w:r>
      <w:r>
        <w:rPr>
          <w:rFonts w:hint="eastAsia"/>
          <w:sz w:val="21"/>
          <w:szCs w:val="21"/>
        </w:rPr>
        <w:t>值</w:t>
      </w:r>
      <w:bookmarkEnd w:id="62"/>
      <w:bookmarkEnd w:id="63"/>
      <w:bookmarkEnd w:id="64"/>
    </w:p>
    <w:p w14:paraId="0F8B043B">
      <w:pPr>
        <w:pStyle w:val="23"/>
        <w:rPr>
          <w:rFonts w:hAnsi="宋体" w:cs="Arial"/>
          <w:sz w:val="21"/>
          <w:szCs w:val="21"/>
        </w:rPr>
      </w:pPr>
      <w:r>
        <w:rPr>
          <w:rFonts w:hint="eastAsia" w:hAnsi="宋体" w:cs="Arial"/>
          <w:sz w:val="21"/>
          <w:szCs w:val="21"/>
        </w:rPr>
        <w:t>按</w:t>
      </w:r>
      <w:r>
        <w:rPr>
          <w:rFonts w:hAnsi="宋体" w:cs="Arial"/>
          <w:sz w:val="21"/>
          <w:szCs w:val="21"/>
        </w:rPr>
        <w:t xml:space="preserve"> GB/T 1601</w:t>
      </w:r>
      <w:r>
        <w:rPr>
          <w:rFonts w:hint="eastAsia" w:hAnsi="宋体" w:cs="Arial"/>
          <w:sz w:val="21"/>
          <w:szCs w:val="21"/>
        </w:rPr>
        <w:t>进行。</w:t>
      </w:r>
    </w:p>
    <w:p w14:paraId="22791B95">
      <w:pPr>
        <w:pStyle w:val="53"/>
        <w:spacing w:before="312" w:after="312"/>
        <w:rPr>
          <w:szCs w:val="21"/>
        </w:rPr>
      </w:pPr>
      <w:bookmarkStart w:id="65" w:name="_Toc465682845"/>
      <w:bookmarkStart w:id="66" w:name="_Toc465930219"/>
      <w:bookmarkStart w:id="67" w:name="_Toc494273410"/>
      <w:bookmarkStart w:id="68" w:name="_Toc188041050"/>
      <w:bookmarkStart w:id="69" w:name="_Toc463860753"/>
      <w:bookmarkStart w:id="70" w:name="_Toc496876278"/>
      <w:bookmarkStart w:id="71" w:name="_Toc463858433"/>
      <w:bookmarkStart w:id="72" w:name="_Toc496808860"/>
      <w:bookmarkStart w:id="73" w:name="_Toc463852730"/>
      <w:bookmarkStart w:id="74" w:name="_Toc465776944"/>
      <w:bookmarkStart w:id="75" w:name="_Toc458086803"/>
      <w:bookmarkStart w:id="76" w:name="_Toc440292111"/>
      <w:bookmarkStart w:id="77" w:name="_Toc457491941"/>
      <w:bookmarkStart w:id="78" w:name="_Toc440292351"/>
      <w:bookmarkStart w:id="79" w:name="_Toc440293260"/>
      <w:bookmarkStart w:id="80" w:name="_Toc457491890"/>
      <w:bookmarkStart w:id="81" w:name="_Toc458086752"/>
      <w:r>
        <w:rPr>
          <w:rFonts w:hint="eastAsia"/>
          <w:szCs w:val="21"/>
        </w:rPr>
        <w:t>检验规则</w:t>
      </w:r>
    </w:p>
    <w:p w14:paraId="2B629F7E">
      <w:pPr>
        <w:widowControl/>
        <w:numPr>
          <w:ilvl w:val="1"/>
          <w:numId w:val="3"/>
        </w:numPr>
        <w:spacing w:beforeLines="50" w:afterLines="50"/>
        <w:ind w:left="-2" w:leftChars="-1"/>
        <w:jc w:val="left"/>
        <w:outlineLvl w:val="2"/>
        <w:rPr>
          <w:rFonts w:ascii="黑体" w:eastAsia="黑体"/>
          <w:kern w:val="0"/>
          <w:szCs w:val="21"/>
        </w:rPr>
      </w:pPr>
      <w:bookmarkStart w:id="82" w:name="_Hlk57019398"/>
      <w:r>
        <w:rPr>
          <w:rFonts w:hint="eastAsia" w:ascii="黑体" w:eastAsia="黑体"/>
          <w:kern w:val="0"/>
          <w:szCs w:val="21"/>
        </w:rPr>
        <w:t>出厂检验</w:t>
      </w:r>
    </w:p>
    <w:p w14:paraId="63ED375C">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每批产品均应做出厂检验,经检验合格签发合格证后,方可出厂。出厂检验项目为外观、扑草净质量分数、水分、pH值</w:t>
      </w:r>
      <w:r>
        <w:rPr>
          <w:rFonts w:ascii="宋体"/>
          <w:kern w:val="0"/>
          <w:szCs w:val="21"/>
        </w:rPr>
        <w:t>。</w:t>
      </w:r>
    </w:p>
    <w:p w14:paraId="414FA390">
      <w:pPr>
        <w:widowControl/>
        <w:numPr>
          <w:ilvl w:val="1"/>
          <w:numId w:val="3"/>
        </w:numPr>
        <w:spacing w:beforeLines="50" w:afterLines="50"/>
        <w:ind w:left="-2" w:leftChars="-1"/>
        <w:jc w:val="left"/>
        <w:outlineLvl w:val="2"/>
        <w:rPr>
          <w:rFonts w:ascii="黑体" w:eastAsia="黑体"/>
          <w:kern w:val="0"/>
          <w:szCs w:val="21"/>
        </w:rPr>
      </w:pPr>
      <w:r>
        <w:rPr>
          <w:rFonts w:hint="eastAsia" w:ascii="黑体" w:eastAsia="黑体"/>
          <w:kern w:val="0"/>
          <w:szCs w:val="21"/>
        </w:rPr>
        <w:t>型式检验</w:t>
      </w:r>
    </w:p>
    <w:p w14:paraId="176B7ECD">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型式检验项目为第4章中的全部项目，在正常连续生产情况下，每3个月至少进行一次。有下述情况之一，应进行型式检验：</w:t>
      </w:r>
    </w:p>
    <w:p w14:paraId="2B1D6DD0">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a） 原料有较大改变，可能影响产品质量时；</w:t>
      </w:r>
    </w:p>
    <w:p w14:paraId="51AD8369">
      <w:pPr>
        <w:widowControl/>
        <w:tabs>
          <w:tab w:val="center" w:pos="4201"/>
          <w:tab w:val="right" w:leader="dot" w:pos="9298"/>
        </w:tabs>
        <w:autoSpaceDE w:val="0"/>
        <w:autoSpaceDN w:val="0"/>
        <w:ind w:firstLine="420" w:firstLineChars="200"/>
        <w:rPr>
          <w:rFonts w:ascii="宋体"/>
          <w:kern w:val="0"/>
          <w:szCs w:val="21"/>
        </w:rPr>
      </w:pPr>
      <w:r>
        <w:rPr>
          <w:rFonts w:hint="eastAsia" w:ascii="宋体"/>
          <w:kern w:val="0"/>
          <w:szCs w:val="21"/>
        </w:rPr>
        <w:t>b） 生产地址、生产设备或生产工艺有较大改变，可能影响产品质量时；</w:t>
      </w:r>
    </w:p>
    <w:p w14:paraId="66C47F1F">
      <w:pPr>
        <w:widowControl/>
        <w:tabs>
          <w:tab w:val="center" w:pos="4201"/>
          <w:tab w:val="right" w:leader="dot" w:pos="9298"/>
        </w:tabs>
        <w:autoSpaceDE w:val="0"/>
        <w:autoSpaceDN w:val="0"/>
        <w:ind w:firstLine="420" w:firstLineChars="200"/>
        <w:rPr>
          <w:rFonts w:ascii="宋体"/>
          <w:kern w:val="0"/>
          <w:szCs w:val="21"/>
        </w:rPr>
      </w:pPr>
      <w:r>
        <w:rPr>
          <w:rFonts w:ascii="宋体"/>
          <w:kern w:val="0"/>
          <w:szCs w:val="21"/>
        </w:rPr>
        <w:t>c</w:t>
      </w:r>
      <w:r>
        <w:rPr>
          <w:rFonts w:hint="eastAsia" w:ascii="宋体"/>
          <w:kern w:val="0"/>
          <w:szCs w:val="21"/>
        </w:rPr>
        <w:t>） 停产后又恢复生产时；</w:t>
      </w:r>
    </w:p>
    <w:p w14:paraId="122C22B8">
      <w:pPr>
        <w:widowControl/>
        <w:tabs>
          <w:tab w:val="center" w:pos="4201"/>
          <w:tab w:val="right" w:leader="dot" w:pos="9298"/>
        </w:tabs>
        <w:autoSpaceDE w:val="0"/>
        <w:autoSpaceDN w:val="0"/>
        <w:ind w:firstLine="420" w:firstLineChars="200"/>
        <w:rPr>
          <w:rFonts w:ascii="宋体"/>
          <w:kern w:val="0"/>
          <w:szCs w:val="21"/>
        </w:rPr>
      </w:pPr>
      <w:r>
        <w:rPr>
          <w:rFonts w:ascii="宋体"/>
          <w:kern w:val="0"/>
          <w:szCs w:val="21"/>
        </w:rPr>
        <w:t>d</w:t>
      </w:r>
      <w:r>
        <w:rPr>
          <w:rFonts w:hint="eastAsia" w:ascii="宋体"/>
          <w:kern w:val="0"/>
          <w:szCs w:val="21"/>
        </w:rPr>
        <w:t>） 国家质量监管机构提出型式检验要求时。</w:t>
      </w:r>
    </w:p>
    <w:p w14:paraId="4CD1AEAB">
      <w:pPr>
        <w:widowControl/>
        <w:numPr>
          <w:ilvl w:val="1"/>
          <w:numId w:val="3"/>
        </w:numPr>
        <w:spacing w:beforeLines="50" w:afterLines="50"/>
        <w:ind w:left="-2" w:leftChars="-1"/>
        <w:jc w:val="left"/>
        <w:outlineLvl w:val="2"/>
        <w:rPr>
          <w:rFonts w:ascii="黑体" w:eastAsia="黑体"/>
          <w:kern w:val="0"/>
          <w:szCs w:val="21"/>
        </w:rPr>
      </w:pPr>
      <w:r>
        <w:rPr>
          <w:rFonts w:hint="eastAsia" w:ascii="黑体" w:eastAsia="黑体"/>
          <w:kern w:val="0"/>
          <w:szCs w:val="21"/>
        </w:rPr>
        <w:t>判定规则</w:t>
      </w:r>
    </w:p>
    <w:p w14:paraId="66FA9CE5">
      <w:pPr>
        <w:widowControl/>
        <w:tabs>
          <w:tab w:val="center" w:pos="4201"/>
          <w:tab w:val="right" w:leader="dot" w:pos="9298"/>
        </w:tabs>
        <w:autoSpaceDE w:val="0"/>
        <w:autoSpaceDN w:val="0"/>
        <w:ind w:firstLine="420" w:firstLineChars="200"/>
        <w:rPr>
          <w:rFonts w:ascii="宋体"/>
          <w:color w:val="000000"/>
          <w:kern w:val="0"/>
          <w:szCs w:val="21"/>
        </w:rPr>
      </w:pPr>
      <w:r>
        <w:rPr>
          <w:rFonts w:hint="eastAsia" w:ascii="宋体"/>
          <w:color w:val="000000"/>
          <w:kern w:val="0"/>
          <w:szCs w:val="21"/>
        </w:rPr>
        <w:t>按 GB/T 8170—2008中4.3.3判定检验结果是否符合本文件要求。</w:t>
      </w:r>
    </w:p>
    <w:p w14:paraId="2F2C2E6B">
      <w:pPr>
        <w:widowControl/>
        <w:tabs>
          <w:tab w:val="center" w:pos="4201"/>
          <w:tab w:val="right" w:leader="dot" w:pos="9298"/>
        </w:tabs>
        <w:autoSpaceDE w:val="0"/>
        <w:autoSpaceDN w:val="0"/>
        <w:ind w:firstLine="420" w:firstLineChars="200"/>
        <w:rPr>
          <w:color w:val="FF0000"/>
          <w:szCs w:val="21"/>
        </w:rPr>
      </w:pPr>
      <w:r>
        <w:rPr>
          <w:rFonts w:hint="eastAsia" w:ascii="宋体"/>
          <w:color w:val="000000"/>
          <w:kern w:val="0"/>
          <w:szCs w:val="21"/>
        </w:rPr>
        <w:t>出厂检验和型式检验中，任一项目不符合第4章的技术要求，则判定该批次产品不合格。</w:t>
      </w:r>
    </w:p>
    <w:bookmarkEnd w:id="82"/>
    <w:p w14:paraId="24AB1D50">
      <w:pPr>
        <w:pStyle w:val="53"/>
        <w:spacing w:before="312" w:after="312"/>
        <w:rPr>
          <w:szCs w:val="21"/>
        </w:rPr>
      </w:pPr>
      <w:r>
        <w:rPr>
          <w:rFonts w:hint="eastAsia"/>
          <w:szCs w:val="21"/>
        </w:rPr>
        <w:t>验收和质量保证期</w:t>
      </w:r>
      <w:bookmarkEnd w:id="65"/>
      <w:bookmarkEnd w:id="66"/>
      <w:bookmarkEnd w:id="67"/>
      <w:bookmarkEnd w:id="68"/>
      <w:bookmarkEnd w:id="69"/>
      <w:bookmarkEnd w:id="70"/>
      <w:bookmarkEnd w:id="71"/>
      <w:bookmarkEnd w:id="72"/>
      <w:bookmarkEnd w:id="73"/>
      <w:bookmarkEnd w:id="74"/>
    </w:p>
    <w:p w14:paraId="545B348B">
      <w:pPr>
        <w:pStyle w:val="49"/>
        <w:spacing w:before="156" w:after="156"/>
        <w:ind w:left="-2" w:leftChars="-1"/>
        <w:rPr>
          <w:sz w:val="21"/>
          <w:szCs w:val="21"/>
        </w:rPr>
      </w:pPr>
      <w:bookmarkStart w:id="83" w:name="_Toc494273411"/>
      <w:r>
        <w:rPr>
          <w:rFonts w:hint="eastAsia"/>
          <w:sz w:val="21"/>
          <w:szCs w:val="21"/>
        </w:rPr>
        <w:t>验收</w:t>
      </w:r>
      <w:bookmarkEnd w:id="83"/>
    </w:p>
    <w:p w14:paraId="46FABE72">
      <w:pPr>
        <w:pStyle w:val="23"/>
        <w:rPr>
          <w:sz w:val="21"/>
          <w:szCs w:val="21"/>
        </w:rPr>
      </w:pPr>
      <w:r>
        <w:rPr>
          <w:rFonts w:hint="eastAsia"/>
          <w:sz w:val="21"/>
          <w:szCs w:val="21"/>
        </w:rPr>
        <w:t>应符合 GB/T 1604的规定。</w:t>
      </w:r>
    </w:p>
    <w:p w14:paraId="0FD0393C">
      <w:pPr>
        <w:pStyle w:val="49"/>
        <w:spacing w:before="156" w:after="156"/>
        <w:ind w:left="-2" w:leftChars="-1"/>
        <w:rPr>
          <w:sz w:val="21"/>
          <w:szCs w:val="21"/>
        </w:rPr>
      </w:pPr>
      <w:bookmarkStart w:id="84" w:name="_Toc494273412"/>
      <w:r>
        <w:rPr>
          <w:rFonts w:hint="eastAsia"/>
          <w:sz w:val="21"/>
          <w:szCs w:val="21"/>
        </w:rPr>
        <w:t>质量保证期</w:t>
      </w:r>
      <w:bookmarkEnd w:id="84"/>
    </w:p>
    <w:p w14:paraId="48615F66">
      <w:pPr>
        <w:pStyle w:val="23"/>
        <w:rPr>
          <w:sz w:val="21"/>
          <w:szCs w:val="21"/>
        </w:rPr>
      </w:pPr>
      <w:r>
        <w:rPr>
          <w:rFonts w:hint="eastAsia"/>
          <w:sz w:val="21"/>
          <w:szCs w:val="21"/>
        </w:rPr>
        <w:t>在8</w:t>
      </w:r>
      <w:r>
        <w:rPr>
          <w:sz w:val="21"/>
          <w:szCs w:val="21"/>
        </w:rPr>
        <w:t>.2</w:t>
      </w:r>
      <w:r>
        <w:rPr>
          <w:rFonts w:hint="eastAsia"/>
          <w:sz w:val="21"/>
          <w:szCs w:val="21"/>
        </w:rPr>
        <w:t>的储运条件下，扑草净</w:t>
      </w:r>
      <w:r>
        <w:rPr>
          <w:sz w:val="21"/>
          <w:szCs w:val="21"/>
        </w:rPr>
        <w:t>原药</w:t>
      </w:r>
      <w:r>
        <w:rPr>
          <w:rFonts w:hint="eastAsia"/>
          <w:sz w:val="21"/>
          <w:szCs w:val="21"/>
        </w:rPr>
        <w:t>的质量保证期</w:t>
      </w:r>
      <w:r>
        <w:rPr>
          <w:rFonts w:hAnsi="宋体" w:cs="Arial"/>
          <w:sz w:val="21"/>
          <w:szCs w:val="21"/>
        </w:rPr>
        <w:t>从生产日期算起为2年</w:t>
      </w:r>
      <w:r>
        <w:rPr>
          <w:rFonts w:hint="eastAsia" w:hAnsi="宋体" w:cs="Arial"/>
          <w:sz w:val="21"/>
          <w:szCs w:val="21"/>
        </w:rPr>
        <w:t>。</w:t>
      </w:r>
      <w:r>
        <w:rPr>
          <w:rFonts w:hAnsi="宋体" w:cs="Arial"/>
          <w:sz w:val="21"/>
          <w:szCs w:val="21"/>
        </w:rPr>
        <w:t>质量保证期内，各项指标均应符合</w:t>
      </w:r>
      <w:r>
        <w:rPr>
          <w:rFonts w:hint="eastAsia" w:hAnsi="宋体" w:cs="Arial"/>
          <w:sz w:val="21"/>
          <w:szCs w:val="21"/>
        </w:rPr>
        <w:t>本文件</w:t>
      </w:r>
      <w:r>
        <w:rPr>
          <w:rFonts w:hAnsi="宋体" w:cs="Arial"/>
          <w:sz w:val="21"/>
          <w:szCs w:val="21"/>
        </w:rPr>
        <w:t>要求</w:t>
      </w:r>
      <w:r>
        <w:rPr>
          <w:rFonts w:hint="eastAsia"/>
          <w:sz w:val="21"/>
          <w:szCs w:val="21"/>
        </w:rPr>
        <w:t>。</w:t>
      </w:r>
    </w:p>
    <w:p w14:paraId="3EB3BA72">
      <w:pPr>
        <w:pStyle w:val="53"/>
        <w:spacing w:before="312" w:after="312" w:line="240" w:lineRule="atLeast"/>
        <w:rPr>
          <w:rFonts w:ascii="Arial" w:hAnsi="Arial" w:cs="Arial"/>
          <w:szCs w:val="21"/>
        </w:rPr>
      </w:pPr>
      <w:r>
        <w:rPr>
          <w:rFonts w:hint="eastAsia" w:ascii="Arial" w:hAnsi="Arial" w:cs="Arial"/>
          <w:szCs w:val="21"/>
        </w:rPr>
        <w:t>标志、标签、包装、储运</w:t>
      </w:r>
      <w:bookmarkEnd w:id="75"/>
      <w:bookmarkEnd w:id="76"/>
      <w:bookmarkEnd w:id="77"/>
      <w:bookmarkEnd w:id="78"/>
    </w:p>
    <w:p w14:paraId="43A548D9">
      <w:pPr>
        <w:pStyle w:val="49"/>
        <w:spacing w:before="156" w:after="156"/>
        <w:rPr>
          <w:sz w:val="21"/>
          <w:szCs w:val="21"/>
        </w:rPr>
      </w:pPr>
      <w:r>
        <w:rPr>
          <w:rFonts w:hint="eastAsia"/>
          <w:sz w:val="21"/>
          <w:szCs w:val="21"/>
        </w:rPr>
        <w:t>标志、标签、包装</w:t>
      </w:r>
      <w:bookmarkEnd w:id="79"/>
      <w:bookmarkEnd w:id="80"/>
      <w:bookmarkEnd w:id="81"/>
    </w:p>
    <w:p w14:paraId="0551E647">
      <w:pPr>
        <w:pStyle w:val="23"/>
        <w:snapToGrid w:val="0"/>
        <w:rPr>
          <w:sz w:val="21"/>
          <w:szCs w:val="21"/>
        </w:rPr>
      </w:pPr>
      <w:r>
        <w:rPr>
          <w:rFonts w:hint="eastAsia"/>
          <w:sz w:val="21"/>
          <w:szCs w:val="21"/>
        </w:rPr>
        <w:t>扑草净原药的标志、标签、包装应符合</w:t>
      </w:r>
      <w:r>
        <w:rPr>
          <w:sz w:val="21"/>
          <w:szCs w:val="21"/>
        </w:rPr>
        <w:t xml:space="preserve"> GB 3796</w:t>
      </w:r>
      <w:r>
        <w:rPr>
          <w:rFonts w:hint="eastAsia"/>
          <w:sz w:val="21"/>
          <w:szCs w:val="21"/>
        </w:rPr>
        <w:t>的规定。</w:t>
      </w:r>
    </w:p>
    <w:p w14:paraId="57DC3A12">
      <w:pPr>
        <w:pStyle w:val="23"/>
        <w:snapToGrid w:val="0"/>
        <w:rPr>
          <w:rFonts w:hAnsi="宋体"/>
          <w:sz w:val="21"/>
          <w:szCs w:val="21"/>
        </w:rPr>
      </w:pPr>
      <w:r>
        <w:rPr>
          <w:rFonts w:hint="eastAsia"/>
          <w:sz w:val="21"/>
          <w:szCs w:val="21"/>
        </w:rPr>
        <w:t>扑草净原药的包装应采用内衬塑料袋的纸板桶包装或塑料编织袋包装，每桶（袋）净重25 kg或5</w:t>
      </w:r>
      <w:r>
        <w:rPr>
          <w:sz w:val="21"/>
          <w:szCs w:val="21"/>
        </w:rPr>
        <w:t>0 kg</w:t>
      </w:r>
      <w:r>
        <w:rPr>
          <w:rFonts w:hint="eastAsia" w:hAnsi="宋体"/>
          <w:sz w:val="21"/>
          <w:szCs w:val="21"/>
        </w:rPr>
        <w:t>；</w:t>
      </w:r>
      <w:r>
        <w:rPr>
          <w:rFonts w:hint="eastAsia" w:hAnsi="宋体"/>
          <w:sz w:val="21"/>
          <w:szCs w:val="21"/>
          <w:lang w:val="en-US" w:eastAsia="zh-CN"/>
        </w:rPr>
        <w:t>也可</w:t>
      </w:r>
      <w:r>
        <w:rPr>
          <w:rFonts w:hint="eastAsia" w:hAnsi="宋体"/>
          <w:sz w:val="21"/>
          <w:szCs w:val="21"/>
        </w:rPr>
        <w:t>根据用户要求或订货协议可采用其他形式的包装，但应符合</w:t>
      </w:r>
      <w:r>
        <w:rPr>
          <w:rFonts w:hAnsi="宋体"/>
          <w:sz w:val="21"/>
          <w:szCs w:val="21"/>
        </w:rPr>
        <w:t xml:space="preserve"> GB 3796</w:t>
      </w:r>
      <w:r>
        <w:rPr>
          <w:rFonts w:hint="eastAsia" w:hAnsi="宋体"/>
          <w:sz w:val="21"/>
          <w:szCs w:val="21"/>
        </w:rPr>
        <w:t>的规定。</w:t>
      </w:r>
    </w:p>
    <w:p w14:paraId="1A682D82">
      <w:pPr>
        <w:pStyle w:val="49"/>
        <w:spacing w:before="156" w:after="156"/>
        <w:rPr>
          <w:sz w:val="21"/>
          <w:szCs w:val="21"/>
        </w:rPr>
      </w:pPr>
      <w:bookmarkStart w:id="85" w:name="_Toc458086753"/>
      <w:bookmarkStart w:id="86" w:name="_Toc457491891"/>
      <w:bookmarkStart w:id="87" w:name="_Toc440293261"/>
      <w:r>
        <w:rPr>
          <w:rFonts w:hint="eastAsia"/>
          <w:sz w:val="21"/>
          <w:szCs w:val="21"/>
        </w:rPr>
        <w:t>储运</w:t>
      </w:r>
      <w:bookmarkEnd w:id="85"/>
      <w:bookmarkEnd w:id="86"/>
      <w:bookmarkEnd w:id="87"/>
    </w:p>
    <w:p w14:paraId="1EC64DB4">
      <w:pPr>
        <w:pStyle w:val="23"/>
        <w:rPr>
          <w:rFonts w:ascii="Arial" w:hAnsi="Arial" w:cs="Arial"/>
          <w:sz w:val="21"/>
          <w:szCs w:val="21"/>
        </w:rPr>
      </w:pPr>
      <w:r>
        <w:rPr>
          <w:rFonts w:hint="eastAsia" w:hAnsi="宋体"/>
          <w:sz w:val="21"/>
          <w:szCs w:val="21"/>
        </w:rPr>
        <w:t>扑草净原药</w:t>
      </w:r>
      <w:r>
        <w:rPr>
          <w:rFonts w:hint="eastAsia"/>
          <w:sz w:val="21"/>
          <w:szCs w:val="21"/>
        </w:rPr>
        <w:t>包装件应储存在通风、干燥的库房中；储运时，严防潮湿和日晒，不应与食物、种子、饲料混放，避免与皮肤、眼睛接触，防止由口鼻吸入。</w:t>
      </w:r>
    </w:p>
    <w:p w14:paraId="2FC35FC1">
      <w:pPr>
        <w:pStyle w:val="106"/>
        <w:rPr>
          <w:szCs w:val="21"/>
        </w:rPr>
      </w:pPr>
    </w:p>
    <w:p w14:paraId="7249C660">
      <w:pPr>
        <w:pStyle w:val="94"/>
        <w:rPr>
          <w:szCs w:val="21"/>
        </w:rPr>
      </w:pPr>
    </w:p>
    <w:p w14:paraId="0711E5D9">
      <w:pPr>
        <w:pStyle w:val="92"/>
        <w:rPr>
          <w:rFonts w:hAnsi="黑体" w:cs="黑体"/>
        </w:rPr>
      </w:pPr>
      <w:r>
        <w:rPr>
          <w:szCs w:val="21"/>
        </w:rPr>
        <w:br w:type="textWrapping"/>
      </w:r>
      <w:r>
        <w:rPr>
          <w:rFonts w:hint="eastAsia"/>
          <w:szCs w:val="21"/>
        </w:rPr>
        <w:t>（资料性）</w:t>
      </w:r>
      <w:r>
        <w:rPr>
          <w:szCs w:val="21"/>
        </w:rPr>
        <w:br w:type="textWrapping"/>
      </w:r>
      <w:r>
        <w:rPr>
          <w:rFonts w:hint="eastAsia" w:hAnsi="黑体" w:cs="黑体"/>
        </w:rPr>
        <w:t>扑草净、</w:t>
      </w:r>
      <w:r>
        <w:rPr>
          <w:rFonts w:hint="eastAsia" w:ascii="Times New Roman"/>
        </w:rPr>
        <w:t>扑灭津、莠灭净、西草净</w:t>
      </w:r>
      <w:r>
        <w:rPr>
          <w:rFonts w:hint="eastAsia" w:hAnsi="黑体" w:cs="黑体"/>
        </w:rPr>
        <w:t>的其他名称、结构式和基本物化参数</w:t>
      </w:r>
    </w:p>
    <w:p w14:paraId="40E49DA4">
      <w:pPr>
        <w:pStyle w:val="110"/>
        <w:tabs>
          <w:tab w:val="clear" w:pos="360"/>
        </w:tabs>
        <w:spacing w:before="312" w:after="312"/>
      </w:pPr>
      <w:bookmarkStart w:id="88" w:name="_Hlk53084881"/>
      <w:bookmarkStart w:id="89" w:name="_Hlk53084904"/>
      <w:r>
        <w:rPr>
          <w:rFonts w:hint="eastAsia"/>
        </w:rPr>
        <w:t>扑草净</w:t>
      </w:r>
    </w:p>
    <w:bookmarkEnd w:id="88"/>
    <w:bookmarkEnd w:id="89"/>
    <w:p w14:paraId="52C18F23">
      <w:pPr>
        <w:pStyle w:val="23"/>
        <w:rPr>
          <w:rFonts w:hAnsi="宋体" w:cs="Arial"/>
          <w:sz w:val="21"/>
          <w:szCs w:val="21"/>
        </w:rPr>
      </w:pPr>
      <w:bookmarkStart w:id="90" w:name="DW"/>
      <w:bookmarkEnd w:id="90"/>
      <w:r>
        <w:rPr>
          <w:rFonts w:hint="eastAsia" w:hAnsi="宋体" w:cs="Arial"/>
          <w:sz w:val="21"/>
          <w:szCs w:val="21"/>
        </w:rPr>
        <w:t>扑草净的其他名称、结构式和基本物化参数如下</w:t>
      </w:r>
      <w:r>
        <w:rPr>
          <w:rFonts w:hAnsi="宋体" w:cs="Arial"/>
          <w:sz w:val="21"/>
          <w:szCs w:val="21"/>
        </w:rPr>
        <w:t>：</w:t>
      </w:r>
    </w:p>
    <w:p w14:paraId="58585A44">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Ansi="宋体" w:cs="Arial"/>
          <w:sz w:val="21"/>
          <w:szCs w:val="21"/>
        </w:rPr>
        <w:t>ISO</w:t>
      </w:r>
      <w:r>
        <w:rPr>
          <w:rFonts w:hint="eastAsia" w:hAnsi="宋体" w:cs="Arial"/>
          <w:sz w:val="21"/>
          <w:szCs w:val="21"/>
        </w:rPr>
        <w:t>通用名称：</w:t>
      </w:r>
      <w:r>
        <w:rPr>
          <w:sz w:val="21"/>
          <w:szCs w:val="21"/>
        </w:rPr>
        <w:t>prometryn</w:t>
      </w:r>
      <w:r>
        <w:rPr>
          <w:rFonts w:hint="eastAsia"/>
          <w:sz w:val="21"/>
          <w:szCs w:val="21"/>
        </w:rPr>
        <w:t>；</w:t>
      </w:r>
    </w:p>
    <w:p w14:paraId="5B6473E7">
      <w:pPr>
        <w:pStyle w:val="23"/>
        <w:ind w:left="420" w:firstLine="0" w:firstLineChars="0"/>
        <w:rPr>
          <w:rFonts w:hAnsi="宋体" w:cs="Arial"/>
          <w:iCs/>
          <w:sz w:val="21"/>
          <w:szCs w:val="21"/>
        </w:rPr>
      </w:pPr>
      <w:r>
        <w:rPr>
          <w:rFonts w:ascii="Times New Roman"/>
          <w:spacing w:val="-60"/>
          <w:sz w:val="21"/>
          <w:szCs w:val="21"/>
        </w:rPr>
        <w:t>—</w:t>
      </w:r>
      <w:r>
        <w:rPr>
          <w:rFonts w:ascii="Times New Roman"/>
          <w:sz w:val="21"/>
          <w:szCs w:val="21"/>
        </w:rPr>
        <w:t>—</w:t>
      </w:r>
      <w:r>
        <w:rPr>
          <w:rFonts w:hAnsi="宋体" w:cs="Arial"/>
          <w:iCs/>
          <w:sz w:val="21"/>
          <w:szCs w:val="21"/>
        </w:rPr>
        <w:t>CAS</w:t>
      </w:r>
      <w:r>
        <w:rPr>
          <w:rFonts w:hint="eastAsia" w:hAnsi="宋体" w:cs="Arial"/>
          <w:iCs/>
          <w:sz w:val="21"/>
          <w:szCs w:val="21"/>
        </w:rPr>
        <w:t>登录号：</w:t>
      </w:r>
      <w:r>
        <w:rPr>
          <w:rFonts w:hAnsi="宋体" w:cs="Arial"/>
          <w:iCs/>
          <w:sz w:val="21"/>
          <w:szCs w:val="21"/>
        </w:rPr>
        <w:t>7287-19-6</w:t>
      </w:r>
      <w:r>
        <w:rPr>
          <w:rFonts w:hint="eastAsia" w:hAnsi="宋体" w:cs="Arial"/>
          <w:iCs/>
          <w:sz w:val="21"/>
          <w:szCs w:val="21"/>
        </w:rPr>
        <w:t>；</w:t>
      </w:r>
    </w:p>
    <w:p w14:paraId="5C051092">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化学名称：</w:t>
      </w:r>
      <w:r>
        <w:rPr>
          <w:rFonts w:hint="eastAsia"/>
          <w:i/>
          <w:iCs/>
          <w:sz w:val="21"/>
          <w:szCs w:val="21"/>
        </w:rPr>
        <w:t xml:space="preserve">N </w:t>
      </w:r>
      <w:r>
        <w:rPr>
          <w:rFonts w:hint="eastAsia"/>
          <w:iCs/>
          <w:sz w:val="21"/>
          <w:szCs w:val="21"/>
          <w:vertAlign w:val="superscript"/>
        </w:rPr>
        <w:t>2</w:t>
      </w:r>
      <w:r>
        <w:rPr>
          <w:rFonts w:hint="eastAsia"/>
          <w:iCs/>
          <w:sz w:val="21"/>
          <w:szCs w:val="21"/>
        </w:rPr>
        <w:t>，</w:t>
      </w:r>
      <w:r>
        <w:rPr>
          <w:rFonts w:hint="eastAsia"/>
          <w:i/>
          <w:iCs/>
          <w:sz w:val="21"/>
          <w:szCs w:val="21"/>
        </w:rPr>
        <w:t xml:space="preserve">N </w:t>
      </w:r>
      <w:r>
        <w:rPr>
          <w:rFonts w:hint="eastAsia"/>
          <w:iCs/>
          <w:sz w:val="21"/>
          <w:szCs w:val="21"/>
          <w:vertAlign w:val="superscript"/>
        </w:rPr>
        <w:t>4</w:t>
      </w:r>
      <w:r>
        <w:rPr>
          <w:rFonts w:hint="eastAsia"/>
          <w:i/>
          <w:iCs/>
          <w:sz w:val="21"/>
          <w:szCs w:val="21"/>
        </w:rPr>
        <w:t>-</w:t>
      </w:r>
      <w:r>
        <w:rPr>
          <w:rFonts w:hint="eastAsia"/>
          <w:iCs/>
          <w:sz w:val="21"/>
          <w:szCs w:val="21"/>
        </w:rPr>
        <w:t>二异丙基-6-（甲硫基）-1,3,5-三嗪-2,4-二胺</w:t>
      </w:r>
      <w:r>
        <w:rPr>
          <w:rFonts w:hint="eastAsia" w:hAnsi="宋体" w:cs="Arial"/>
          <w:sz w:val="21"/>
          <w:szCs w:val="21"/>
        </w:rPr>
        <w:t>；</w:t>
      </w:r>
    </w:p>
    <w:p w14:paraId="5326CBE4">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结构式：</w:t>
      </w:r>
    </w:p>
    <w:p w14:paraId="1E88823A">
      <w:pPr>
        <w:jc w:val="center"/>
        <w:rPr>
          <w:szCs w:val="21"/>
        </w:rPr>
      </w:pPr>
      <w:r>
        <w:drawing>
          <wp:inline distT="0" distB="0" distL="0" distR="0">
            <wp:extent cx="1399540" cy="970280"/>
            <wp:effectExtent l="0" t="0" r="0" b="1270"/>
            <wp:docPr id="29" name="图片 29" descr="C:\Users\ZHAOQI~1.SYR\AppData\Local\Temp\ksohtml1794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Users\ZHAOQI~1.SYR\AppData\Local\Temp\ksohtml17948\wps1.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399540" cy="970280"/>
                    </a:xfrm>
                    <a:prstGeom prst="rect">
                      <a:avLst/>
                    </a:prstGeom>
                    <a:noFill/>
                    <a:ln>
                      <a:noFill/>
                    </a:ln>
                  </pic:spPr>
                </pic:pic>
              </a:graphicData>
            </a:graphic>
          </wp:inline>
        </w:drawing>
      </w:r>
    </w:p>
    <w:p w14:paraId="77D6E63B">
      <w:pPr>
        <w:ind w:left="420" w:leftChars="200"/>
        <w:rPr>
          <w:rFonts w:ascii="宋体" w:hAnsi="宋体" w:cs="Arial"/>
          <w:szCs w:val="21"/>
          <w:shd w:val="clear" w:color="auto" w:fill="FFFFFF"/>
        </w:rPr>
      </w:pPr>
      <w:r>
        <w:rPr>
          <w:spacing w:val="-60"/>
          <w:szCs w:val="21"/>
        </w:rPr>
        <w:t>—</w:t>
      </w:r>
      <w:r>
        <w:rPr>
          <w:szCs w:val="21"/>
        </w:rPr>
        <w:t>—</w:t>
      </w:r>
      <w:r>
        <w:rPr>
          <w:rFonts w:hint="eastAsia"/>
          <w:szCs w:val="21"/>
        </w:rPr>
        <w:t>分子</w:t>
      </w:r>
      <w:r>
        <w:rPr>
          <w:rFonts w:hint="eastAsia" w:ascii="宋体" w:hAnsi="宋体" w:cs="Arial"/>
          <w:szCs w:val="21"/>
        </w:rPr>
        <w:t>式：</w:t>
      </w:r>
      <w:r>
        <w:rPr>
          <w:rFonts w:hint="eastAsia" w:ascii="宋体" w:hAnsi="宋体" w:cs="宋体"/>
          <w:szCs w:val="21"/>
        </w:rPr>
        <w:t>C</w:t>
      </w:r>
      <w:r>
        <w:rPr>
          <w:rFonts w:ascii="Arial" w:hAnsi="Arial" w:cs="Arial"/>
          <w:szCs w:val="21"/>
          <w:vertAlign w:val="subscript"/>
        </w:rPr>
        <w:t>10</w:t>
      </w:r>
      <w:r>
        <w:rPr>
          <w:rFonts w:hint="eastAsia" w:ascii="宋体" w:hAnsi="宋体" w:cs="宋体"/>
          <w:szCs w:val="21"/>
        </w:rPr>
        <w:t>H</w:t>
      </w:r>
      <w:r>
        <w:rPr>
          <w:rFonts w:hint="eastAsia"/>
          <w:szCs w:val="21"/>
          <w:vertAlign w:val="subscript"/>
        </w:rPr>
        <w:t>19</w:t>
      </w:r>
      <w:r>
        <w:rPr>
          <w:rFonts w:hint="eastAsia" w:ascii="宋体" w:hAnsi="宋体" w:cs="宋体"/>
          <w:szCs w:val="21"/>
        </w:rPr>
        <w:t>N</w:t>
      </w:r>
      <w:r>
        <w:rPr>
          <w:rFonts w:ascii="Arial" w:hAnsi="Arial" w:cs="Arial"/>
          <w:szCs w:val="21"/>
          <w:vertAlign w:val="subscript"/>
        </w:rPr>
        <w:t>5</w:t>
      </w:r>
      <w:r>
        <w:rPr>
          <w:rFonts w:hint="eastAsia" w:ascii="宋体" w:hAnsi="宋体" w:cs="宋体"/>
          <w:szCs w:val="21"/>
        </w:rPr>
        <w:t>S</w:t>
      </w:r>
      <w:r>
        <w:rPr>
          <w:rFonts w:hint="eastAsia"/>
          <w:szCs w:val="21"/>
        </w:rPr>
        <w:t>；</w:t>
      </w:r>
    </w:p>
    <w:p w14:paraId="560A8369">
      <w:pPr>
        <w:ind w:left="420" w:leftChars="200"/>
        <w:rPr>
          <w:rFonts w:ascii="宋体" w:hAnsi="宋体" w:cs="Arial"/>
          <w:szCs w:val="21"/>
        </w:rPr>
      </w:pPr>
      <w:r>
        <w:rPr>
          <w:spacing w:val="-60"/>
          <w:szCs w:val="21"/>
        </w:rPr>
        <w:t>—</w:t>
      </w:r>
      <w:r>
        <w:rPr>
          <w:szCs w:val="21"/>
        </w:rPr>
        <w:t>—</w:t>
      </w:r>
      <w:r>
        <w:rPr>
          <w:rFonts w:hint="eastAsia" w:ascii="宋体" w:hAnsi="宋体" w:cs="Arial"/>
          <w:szCs w:val="21"/>
        </w:rPr>
        <w:t>相对分子质量：</w:t>
      </w:r>
      <w:r>
        <w:rPr>
          <w:rFonts w:ascii="宋体" w:hAnsi="宋体"/>
          <w:szCs w:val="21"/>
        </w:rPr>
        <w:t>241.4</w:t>
      </w:r>
      <w:r>
        <w:rPr>
          <w:rFonts w:hint="eastAsia" w:ascii="宋体" w:hAnsi="宋体"/>
          <w:szCs w:val="21"/>
        </w:rPr>
        <w:t>；</w:t>
      </w:r>
    </w:p>
    <w:p w14:paraId="489028DC">
      <w:pPr>
        <w:ind w:left="420" w:leftChars="200"/>
        <w:rPr>
          <w:rFonts w:ascii="宋体" w:hAnsi="宋体" w:cs="宋体"/>
          <w:szCs w:val="21"/>
        </w:rPr>
      </w:pPr>
      <w:r>
        <w:rPr>
          <w:spacing w:val="-60"/>
          <w:szCs w:val="21"/>
        </w:rPr>
        <w:t>—</w:t>
      </w:r>
      <w:r>
        <w:rPr>
          <w:szCs w:val="21"/>
        </w:rPr>
        <w:t>—</w:t>
      </w:r>
      <w:r>
        <w:rPr>
          <w:rFonts w:hint="eastAsia" w:ascii="宋体" w:hAnsi="宋体" w:cs="Arial"/>
          <w:szCs w:val="21"/>
        </w:rPr>
        <w:t>生物</w:t>
      </w:r>
      <w:r>
        <w:rPr>
          <w:rFonts w:hint="eastAsia" w:ascii="宋体" w:hAnsi="宋体" w:cs="宋体"/>
          <w:szCs w:val="21"/>
        </w:rPr>
        <w:t>活性：除草；</w:t>
      </w:r>
    </w:p>
    <w:p w14:paraId="047B87FF">
      <w:pPr>
        <w:ind w:left="420" w:leftChars="200"/>
        <w:rPr>
          <w:rFonts w:ascii="宋体" w:hAnsi="宋体" w:cs="宋体"/>
          <w:szCs w:val="21"/>
        </w:rPr>
      </w:pPr>
      <w:r>
        <w:rPr>
          <w:spacing w:val="-60"/>
          <w:szCs w:val="21"/>
        </w:rPr>
        <w:t>—</w:t>
      </w:r>
      <w:r>
        <w:rPr>
          <w:szCs w:val="21"/>
        </w:rPr>
        <w:t>—</w:t>
      </w:r>
      <w:r>
        <w:rPr>
          <w:rFonts w:hint="eastAsia" w:ascii="宋体" w:hAnsi="宋体" w:cs="宋体"/>
          <w:szCs w:val="21"/>
        </w:rPr>
        <w:t>熔点：</w:t>
      </w:r>
      <w:r>
        <w:rPr>
          <w:rFonts w:ascii="宋体" w:hAnsi="宋体"/>
          <w:szCs w:val="21"/>
        </w:rPr>
        <w:t xml:space="preserve">118 </w:t>
      </w:r>
      <w:r>
        <w:rPr>
          <w:rFonts w:hint="eastAsia" w:ascii="宋体" w:hAnsi="宋体"/>
          <w:szCs w:val="21"/>
        </w:rPr>
        <w:t>℃～</w:t>
      </w:r>
      <w:r>
        <w:rPr>
          <w:rFonts w:ascii="宋体" w:hAnsi="宋体"/>
          <w:szCs w:val="21"/>
        </w:rPr>
        <w:t xml:space="preserve">120 </w:t>
      </w:r>
      <w:r>
        <w:rPr>
          <w:rFonts w:hint="eastAsia" w:ascii="宋体" w:hAnsi="宋体"/>
          <w:szCs w:val="21"/>
        </w:rPr>
        <w:t>℃；</w:t>
      </w:r>
    </w:p>
    <w:p w14:paraId="5811262B">
      <w:pPr>
        <w:snapToGrid w:val="0"/>
        <w:ind w:firstLine="425" w:firstLineChars="473"/>
        <w:rPr>
          <w:rFonts w:ascii="宋体" w:hAnsi="宋体"/>
          <w:szCs w:val="21"/>
        </w:rPr>
      </w:pPr>
      <w:r>
        <w:rPr>
          <w:spacing w:val="-60"/>
          <w:szCs w:val="21"/>
        </w:rPr>
        <w:t>—</w:t>
      </w:r>
      <w:r>
        <w:rPr>
          <w:szCs w:val="21"/>
        </w:rPr>
        <w:t>—</w:t>
      </w:r>
      <w:r>
        <w:rPr>
          <w:rFonts w:hint="eastAsia" w:ascii="宋体" w:hAnsi="宋体"/>
          <w:szCs w:val="21"/>
        </w:rPr>
        <w:t>蒸气压（2</w:t>
      </w:r>
      <w:r>
        <w:rPr>
          <w:rFonts w:ascii="宋体" w:hAnsi="宋体"/>
          <w:szCs w:val="21"/>
        </w:rPr>
        <w:t>0</w:t>
      </w:r>
      <w:r>
        <w:rPr>
          <w:rFonts w:hint="eastAsia" w:ascii="宋体" w:hAnsi="宋体"/>
          <w:szCs w:val="21"/>
        </w:rPr>
        <w:t>℃）：</w:t>
      </w:r>
      <w:r>
        <w:rPr>
          <w:rFonts w:ascii="宋体" w:hAnsi="宋体"/>
          <w:szCs w:val="21"/>
        </w:rPr>
        <w:t xml:space="preserve">0.133 </w:t>
      </w:r>
      <w:r>
        <w:rPr>
          <w:rFonts w:hint="eastAsia" w:ascii="宋体" w:hAnsi="宋体"/>
          <w:szCs w:val="21"/>
        </w:rPr>
        <w:t>mPa；</w:t>
      </w:r>
    </w:p>
    <w:p w14:paraId="29E14EA5">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cs="Arial"/>
          <w:sz w:val="21"/>
          <w:szCs w:val="21"/>
        </w:rPr>
        <w:t>溶解度</w:t>
      </w:r>
      <w:r>
        <w:rPr>
          <w:rFonts w:hAnsi="宋体" w:cs="Arial"/>
          <w:sz w:val="21"/>
          <w:szCs w:val="21"/>
        </w:rPr>
        <w:t>(</w:t>
      </w:r>
      <w:r>
        <w:rPr>
          <w:rFonts w:hint="eastAsia" w:hAnsi="宋体" w:cs="Arial"/>
          <w:sz w:val="21"/>
          <w:szCs w:val="21"/>
        </w:rPr>
        <w:t>20</w:t>
      </w:r>
      <w:r>
        <w:rPr>
          <w:rFonts w:hAnsi="宋体" w:cs="Arial"/>
          <w:sz w:val="21"/>
          <w:szCs w:val="21"/>
        </w:rPr>
        <w:t xml:space="preserve"> </w:t>
      </w:r>
      <w:r>
        <w:rPr>
          <w:rFonts w:hint="eastAsia" w:hAnsi="宋体" w:cs="Arial"/>
          <w:sz w:val="21"/>
          <w:szCs w:val="21"/>
        </w:rPr>
        <w:t>℃，</w:t>
      </w:r>
      <w:r>
        <w:rPr>
          <w:rFonts w:hAnsi="宋体" w:cs="Arial"/>
          <w:sz w:val="21"/>
          <w:szCs w:val="21"/>
        </w:rPr>
        <w:t>g/L)</w:t>
      </w:r>
      <w:r>
        <w:rPr>
          <w:rFonts w:hint="eastAsia" w:hAnsi="宋体" w:cs="Arial"/>
          <w:sz w:val="21"/>
          <w:szCs w:val="21"/>
        </w:rPr>
        <w:t>：水中 33 mg/L，丙酮中 300，二氯甲烷中 300，正己烷中 5.5，甲醇中 160，辛醇中 100，甲苯中 200；</w:t>
      </w:r>
    </w:p>
    <w:p w14:paraId="55924BA6">
      <w:pPr>
        <w:pStyle w:val="23"/>
        <w:ind w:left="420" w:firstLine="0" w:firstLineChars="0"/>
        <w:rPr>
          <w:rFonts w:hAnsi="宋体" w:cs="Arial"/>
          <w:sz w:val="21"/>
          <w:szCs w:val="21"/>
        </w:rPr>
      </w:pPr>
      <w:r>
        <w:rPr>
          <w:rFonts w:ascii="Times New Roman"/>
          <w:spacing w:val="-60"/>
          <w:sz w:val="21"/>
          <w:szCs w:val="21"/>
        </w:rPr>
        <w:t>—</w:t>
      </w:r>
      <w:r>
        <w:rPr>
          <w:rFonts w:ascii="Times New Roman"/>
          <w:sz w:val="21"/>
          <w:szCs w:val="21"/>
        </w:rPr>
        <w:t>—</w:t>
      </w:r>
      <w:r>
        <w:rPr>
          <w:rFonts w:hint="eastAsia" w:hAnsi="宋体"/>
          <w:sz w:val="21"/>
          <w:szCs w:val="21"/>
        </w:rPr>
        <w:t>稳定性：</w:t>
      </w:r>
      <w:r>
        <w:rPr>
          <w:rFonts w:hint="eastAsia" w:hAnsi="宋体" w:cs="Arial"/>
          <w:sz w:val="21"/>
          <w:szCs w:val="21"/>
        </w:rPr>
        <w:t>在中性、微酸性或微碱性介质中水解稳定。本品为碱性，土壤中DT</w:t>
      </w:r>
      <w:r>
        <w:rPr>
          <w:rFonts w:ascii="Times New Roman"/>
          <w:sz w:val="21"/>
          <w:szCs w:val="21"/>
          <w:vertAlign w:val="subscript"/>
        </w:rPr>
        <w:t>50</w:t>
      </w:r>
      <w:r>
        <w:rPr>
          <w:rFonts w:hint="eastAsia" w:hAnsi="宋体" w:cs="Arial"/>
          <w:sz w:val="21"/>
          <w:szCs w:val="21"/>
        </w:rPr>
        <w:t>为40 d</w:t>
      </w:r>
      <w:r>
        <w:rPr>
          <w:rFonts w:ascii="Times New Roman"/>
          <w:sz w:val="21"/>
          <w:szCs w:val="21"/>
        </w:rPr>
        <w:t>~</w:t>
      </w:r>
      <w:r>
        <w:rPr>
          <w:rFonts w:hint="eastAsia" w:hAnsi="宋体" w:cs="Arial"/>
          <w:sz w:val="21"/>
          <w:szCs w:val="21"/>
        </w:rPr>
        <w:t>70 d。</w:t>
      </w:r>
    </w:p>
    <w:p w14:paraId="25D22898">
      <w:pPr>
        <w:pStyle w:val="110"/>
        <w:tabs>
          <w:tab w:val="clear" w:pos="360"/>
        </w:tabs>
        <w:spacing w:before="312" w:after="312"/>
      </w:pPr>
      <w:r>
        <w:rPr>
          <w:rFonts w:hint="eastAsia" w:ascii="Times New Roman"/>
        </w:rPr>
        <w:t>扑灭津</w:t>
      </w:r>
    </w:p>
    <w:p w14:paraId="0D62FEE6">
      <w:pPr>
        <w:pStyle w:val="23"/>
        <w:ind w:firstLine="440"/>
      </w:pPr>
      <w:r>
        <w:rPr>
          <w:rFonts w:hint="eastAsia"/>
        </w:rPr>
        <w:t>扑灭津</w:t>
      </w:r>
      <w:r>
        <w:rPr>
          <w:rFonts w:hint="eastAsia" w:hAnsi="黑体" w:cs="黑体"/>
        </w:rPr>
        <w:t>的其他名称、结构式和基本物化参数</w:t>
      </w:r>
      <w:r>
        <w:rPr>
          <w:rFonts w:hint="eastAsia" w:hAnsi="宋体" w:cs="宋体"/>
        </w:rPr>
        <w:t>如下：</w:t>
      </w:r>
    </w:p>
    <w:p w14:paraId="57EDFBAA">
      <w:pPr>
        <w:pStyle w:val="23"/>
        <w:ind w:firstLine="440"/>
        <w:rPr>
          <w:rFonts w:hAnsi="宋体" w:cs="宋体"/>
        </w:rPr>
      </w:pPr>
      <w:r>
        <w:rPr>
          <w:color w:val="000000"/>
        </w:rPr>
        <w:t>——</w:t>
      </w:r>
      <w:r>
        <w:rPr>
          <w:rFonts w:hint="eastAsia" w:hAnsi="宋体" w:cs="宋体"/>
        </w:rPr>
        <w:t>ISO通用名称：</w:t>
      </w:r>
      <w:r>
        <w:rPr>
          <w:rFonts w:hint="eastAsia" w:hAnsi="宋体" w:cs="宋体"/>
          <w:color w:val="000000"/>
          <w:szCs w:val="21"/>
        </w:rPr>
        <w:t>propazine</w:t>
      </w:r>
      <w:r>
        <w:rPr>
          <w:rFonts w:hint="eastAsia" w:hAnsi="宋体" w:cs="宋体"/>
        </w:rPr>
        <w:t>；</w:t>
      </w:r>
    </w:p>
    <w:p w14:paraId="7ADCE07C">
      <w:pPr>
        <w:pStyle w:val="23"/>
        <w:ind w:firstLine="440"/>
        <w:rPr>
          <w:rFonts w:hAnsi="宋体" w:cs="宋体"/>
        </w:rPr>
      </w:pPr>
      <w:r>
        <w:rPr>
          <w:color w:val="000000"/>
        </w:rPr>
        <w:t>——</w:t>
      </w:r>
      <w:r>
        <w:rPr>
          <w:rFonts w:hint="eastAsia" w:hAnsi="宋体" w:cs="宋体"/>
        </w:rPr>
        <w:t>CAS登录号：</w:t>
      </w:r>
      <w:r>
        <w:rPr>
          <w:rFonts w:hint="eastAsia" w:hAnsi="宋体" w:cs="宋体"/>
          <w:color w:val="000000"/>
          <w:szCs w:val="21"/>
        </w:rPr>
        <w:t>139-40-2</w:t>
      </w:r>
      <w:r>
        <w:rPr>
          <w:rFonts w:hint="eastAsia" w:hAnsi="宋体" w:cs="宋体"/>
        </w:rPr>
        <w:t>；</w:t>
      </w:r>
    </w:p>
    <w:p w14:paraId="43677D26">
      <w:pPr>
        <w:pStyle w:val="23"/>
        <w:ind w:firstLine="440"/>
        <w:rPr>
          <w:rFonts w:hAnsi="宋体" w:cs="宋体"/>
        </w:rPr>
      </w:pPr>
      <w:r>
        <w:rPr>
          <w:color w:val="000000"/>
        </w:rPr>
        <w:t>——</w:t>
      </w:r>
      <w:r>
        <w:rPr>
          <w:rFonts w:hint="eastAsia" w:hAnsi="宋体" w:cs="宋体"/>
        </w:rPr>
        <w:t>化学名称：</w:t>
      </w:r>
      <w:r>
        <w:rPr>
          <w:rFonts w:hint="eastAsia" w:hAnsi="宋体" w:cs="宋体"/>
          <w:color w:val="000000"/>
          <w:szCs w:val="21"/>
        </w:rPr>
        <w:t>6-氯-</w:t>
      </w:r>
      <w:r>
        <w:rPr>
          <w:rFonts w:hint="eastAsia"/>
          <w:i/>
          <w:color w:val="000000"/>
          <w:sz w:val="24"/>
          <w:szCs w:val="24"/>
        </w:rPr>
        <w:t xml:space="preserve"> N</w:t>
      </w:r>
      <w:r>
        <w:rPr>
          <w:rFonts w:hAnsi="宋体" w:cs="宋体"/>
          <w:i/>
          <w:iCs/>
          <w:color w:val="000000"/>
          <w:szCs w:val="21"/>
          <w:vertAlign w:val="superscript"/>
        </w:rPr>
        <w:t xml:space="preserve"> </w:t>
      </w:r>
      <w:r>
        <w:rPr>
          <w:rFonts w:hAnsi="宋体" w:cs="宋体"/>
          <w:iCs/>
          <w:color w:val="000000"/>
          <w:szCs w:val="21"/>
          <w:vertAlign w:val="superscript"/>
        </w:rPr>
        <w:t>2</w:t>
      </w:r>
      <w:r>
        <w:rPr>
          <w:rFonts w:hint="eastAsia" w:hAnsi="宋体" w:cs="宋体"/>
          <w:i/>
          <w:iCs/>
          <w:color w:val="000000"/>
          <w:szCs w:val="21"/>
        </w:rPr>
        <w:t>，</w:t>
      </w:r>
      <w:r>
        <w:rPr>
          <w:rFonts w:hint="eastAsia"/>
          <w:i/>
          <w:color w:val="000000"/>
          <w:sz w:val="24"/>
          <w:szCs w:val="24"/>
        </w:rPr>
        <w:t>N</w:t>
      </w:r>
      <w:r>
        <w:rPr>
          <w:rFonts w:hAnsi="宋体" w:cs="宋体"/>
          <w:i/>
          <w:iCs/>
          <w:color w:val="000000"/>
          <w:szCs w:val="21"/>
          <w:vertAlign w:val="superscript"/>
        </w:rPr>
        <w:t xml:space="preserve"> </w:t>
      </w:r>
      <w:r>
        <w:rPr>
          <w:rFonts w:hAnsi="宋体" w:cs="宋体"/>
          <w:iCs/>
          <w:color w:val="000000"/>
          <w:szCs w:val="21"/>
          <w:vertAlign w:val="superscript"/>
        </w:rPr>
        <w:t>4</w:t>
      </w:r>
      <w:r>
        <w:rPr>
          <w:rFonts w:hint="eastAsia" w:hAnsi="宋体" w:cs="宋体"/>
          <w:color w:val="000000"/>
          <w:szCs w:val="21"/>
        </w:rPr>
        <w:t>-二异丙基-1,3,5-三嗪-2,4-二胺</w:t>
      </w:r>
      <w:r>
        <w:rPr>
          <w:rFonts w:hint="eastAsia" w:hAnsi="宋体" w:cs="宋体"/>
        </w:rPr>
        <w:t>；</w:t>
      </w:r>
    </w:p>
    <w:p w14:paraId="0493007F">
      <w:pPr>
        <w:pStyle w:val="23"/>
        <w:ind w:firstLine="440"/>
      </w:pPr>
      <w:r>
        <w:rPr>
          <w:color w:val="000000"/>
        </w:rPr>
        <w:t>——</w:t>
      </w:r>
      <w:r>
        <w:rPr>
          <w:rFonts w:hint="eastAsia" w:hAnsi="宋体" w:cs="宋体"/>
        </w:rPr>
        <w:t>结构式：</w:t>
      </w:r>
    </w:p>
    <w:p w14:paraId="2EF34DB6">
      <w:pPr>
        <w:pStyle w:val="23"/>
        <w:ind w:firstLine="440"/>
        <w:jc w:val="center"/>
        <w:rPr>
          <w:rFonts w:hAnsi="宋体" w:cs="Arial"/>
          <w:color w:val="000000"/>
        </w:rPr>
      </w:pPr>
      <w:r>
        <w:rPr>
          <w:rFonts w:hint="eastAsia" w:hAnsi="宋体" w:cs="宋体"/>
          <w:szCs w:val="21"/>
        </w:rPr>
        <w:object>
          <v:shape id="_x0000_i1029" o:spt="75" type="#_x0000_t75" style="height:88pt;width:109.35pt;" o:ole="t" filled="f" o:preferrelative="t" stroked="f" coordsize="21600,21600">
            <v:path/>
            <v:fill on="f" focussize="0,0"/>
            <v:stroke on="f" joinstyle="miter"/>
            <v:imagedata r:id="rId25" o:title=""/>
            <o:lock v:ext="edit" aspectratio="f"/>
            <w10:wrap type="none"/>
            <w10:anchorlock/>
          </v:shape>
          <o:OLEObject Type="Embed" ProgID="ChemDraw.Document.6.0" ShapeID="_x0000_i1029" DrawAspect="Content" ObjectID="_1468075729" r:id="rId24">
            <o:LockedField>false</o:LockedField>
          </o:OLEObject>
        </w:object>
      </w:r>
    </w:p>
    <w:p w14:paraId="681D1494">
      <w:pPr>
        <w:ind w:firstLine="424" w:firstLineChars="202"/>
        <w:rPr>
          <w:rFonts w:ascii="宋体" w:hAnsi="宋体" w:cs="宋体"/>
          <w:color w:val="000000"/>
          <w:szCs w:val="21"/>
        </w:rPr>
      </w:pPr>
      <w:r>
        <w:rPr>
          <w:color w:val="000000"/>
        </w:rPr>
        <w:t>——</w:t>
      </w:r>
      <w:r>
        <w:rPr>
          <w:rFonts w:hint="eastAsia" w:ascii="宋体" w:hAnsi="宋体" w:cs="宋体"/>
          <w:color w:val="000000"/>
        </w:rPr>
        <w:t>分子式</w:t>
      </w:r>
      <w:r>
        <w:rPr>
          <w:rFonts w:hint="eastAsia" w:ascii="宋体" w:hAnsi="宋体" w:cs="宋体"/>
          <w:color w:val="000000"/>
          <w:szCs w:val="21"/>
        </w:rPr>
        <w:t>：</w:t>
      </w:r>
      <w:r>
        <w:rPr>
          <w:rFonts w:hint="eastAsia" w:ascii="宋体" w:hAnsi="宋体" w:cs="宋体"/>
          <w:szCs w:val="21"/>
        </w:rPr>
        <w:t>C</w:t>
      </w:r>
      <w:r>
        <w:rPr>
          <w:rFonts w:ascii="Arial" w:hAnsi="Arial" w:cs="Arial"/>
          <w:szCs w:val="21"/>
          <w:vertAlign w:val="subscript"/>
        </w:rPr>
        <w:t>9</w:t>
      </w:r>
      <w:r>
        <w:rPr>
          <w:rFonts w:hint="eastAsia" w:ascii="宋体" w:hAnsi="宋体" w:cs="宋体"/>
          <w:szCs w:val="21"/>
        </w:rPr>
        <w:t>H</w:t>
      </w:r>
      <w:r>
        <w:rPr>
          <w:rFonts w:ascii="Arial" w:hAnsi="Arial" w:cs="Arial"/>
          <w:szCs w:val="21"/>
          <w:vertAlign w:val="subscript"/>
        </w:rPr>
        <w:t>16</w:t>
      </w:r>
      <w:r>
        <w:rPr>
          <w:rFonts w:hint="eastAsia" w:ascii="宋体" w:hAnsi="宋体" w:cs="宋体"/>
          <w:szCs w:val="21"/>
        </w:rPr>
        <w:t>ClN</w:t>
      </w:r>
      <w:r>
        <w:rPr>
          <w:rFonts w:ascii="Arial" w:hAnsi="Arial" w:cs="Arial"/>
          <w:szCs w:val="21"/>
          <w:vertAlign w:val="subscript"/>
        </w:rPr>
        <w:t>5</w:t>
      </w:r>
      <w:r>
        <w:rPr>
          <w:rFonts w:hint="eastAsia" w:ascii="宋体" w:hAnsi="宋体" w:cs="宋体"/>
          <w:color w:val="000000"/>
          <w:szCs w:val="21"/>
          <w:shd w:val="clear" w:color="auto" w:fill="FFFFFF"/>
        </w:rPr>
        <w:t>；</w:t>
      </w:r>
    </w:p>
    <w:p w14:paraId="4CB21592">
      <w:pPr>
        <w:ind w:firstLine="420" w:firstLineChars="200"/>
        <w:rPr>
          <w:rFonts w:ascii="宋体" w:hAnsi="宋体" w:cs="宋体"/>
          <w:color w:val="000000"/>
          <w:szCs w:val="21"/>
        </w:rPr>
      </w:pPr>
      <w:r>
        <w:rPr>
          <w:color w:val="000000"/>
        </w:rPr>
        <w:t>——</w:t>
      </w:r>
      <w:r>
        <w:rPr>
          <w:rFonts w:hint="eastAsia" w:ascii="宋体" w:hAnsi="宋体" w:cs="宋体"/>
          <w:color w:val="000000"/>
          <w:szCs w:val="21"/>
        </w:rPr>
        <w:t>相对分子质量：229.7；</w:t>
      </w:r>
    </w:p>
    <w:p w14:paraId="3F8E4D0C">
      <w:pPr>
        <w:pStyle w:val="23"/>
        <w:ind w:firstLine="440"/>
        <w:rPr>
          <w:rFonts w:hAnsi="宋体" w:cs="宋体"/>
        </w:rPr>
      </w:pPr>
      <w:r>
        <w:t>——</w:t>
      </w:r>
      <w:r>
        <w:rPr>
          <w:rFonts w:hint="eastAsia" w:hAnsi="宋体" w:cs="Arial"/>
        </w:rPr>
        <w:t>溶解度（20</w:t>
      </w:r>
      <w:r>
        <w:rPr>
          <w:rFonts w:hAnsi="宋体" w:cs="Arial"/>
        </w:rPr>
        <w:t xml:space="preserve"> </w:t>
      </w:r>
      <w:r>
        <w:rPr>
          <w:rFonts w:hint="eastAsia" w:hAnsi="宋体" w:cs="Arial"/>
        </w:rPr>
        <w:t>℃～2</w:t>
      </w:r>
      <w:r>
        <w:rPr>
          <w:rFonts w:hAnsi="宋体" w:cs="Arial"/>
        </w:rPr>
        <w:t>5</w:t>
      </w:r>
      <w:r>
        <w:rPr>
          <w:rFonts w:hint="eastAsia" w:hAnsi="宋体" w:cs="Arial"/>
        </w:rPr>
        <w:t xml:space="preserve"> ℃，</w:t>
      </w:r>
      <w:r>
        <w:rPr>
          <w:rFonts w:hAnsi="宋体" w:cs="Arial"/>
        </w:rPr>
        <w:t>g/L</w:t>
      </w:r>
      <w:r>
        <w:rPr>
          <w:rFonts w:hint="eastAsia" w:hAnsi="宋体" w:cs="Arial"/>
        </w:rPr>
        <w:t>）：水中8.6 mg/L，四氯化碳中2.5，乙醚中3.6，甲苯</w:t>
      </w:r>
      <w:r>
        <w:rPr>
          <w:rFonts w:hint="eastAsia" w:hAnsi="宋体" w:cs="宋体"/>
        </w:rPr>
        <w:t xml:space="preserve">中 </w:t>
      </w:r>
      <w:r>
        <w:rPr>
          <w:rFonts w:hint="eastAsia" w:hAnsi="宋体" w:cs="Arial"/>
        </w:rPr>
        <w:t>6.2，能溶于乙醇、丙酮、三氯甲烷等有机溶剂</w:t>
      </w:r>
    </w:p>
    <w:p w14:paraId="19B3E895">
      <w:pPr>
        <w:pStyle w:val="110"/>
        <w:tabs>
          <w:tab w:val="clear" w:pos="360"/>
        </w:tabs>
        <w:spacing w:before="312" w:after="312"/>
      </w:pPr>
      <w:r>
        <w:rPr>
          <w:rFonts w:hint="eastAsia"/>
        </w:rPr>
        <w:t>莠灭净</w:t>
      </w:r>
    </w:p>
    <w:p w14:paraId="0BDC846B">
      <w:pPr>
        <w:pStyle w:val="23"/>
        <w:ind w:firstLine="440"/>
      </w:pPr>
      <w:r>
        <w:rPr>
          <w:rFonts w:hint="eastAsia" w:hAnsi="宋体" w:cs="宋体"/>
        </w:rPr>
        <w:t>莠灭净的其他名称、结构式和基本物化参数如下：</w:t>
      </w:r>
    </w:p>
    <w:p w14:paraId="62E7C4AD">
      <w:pPr>
        <w:pStyle w:val="23"/>
        <w:ind w:firstLine="440"/>
        <w:rPr>
          <w:rFonts w:hAnsi="宋体" w:cs="宋体"/>
        </w:rPr>
      </w:pPr>
      <w:r>
        <w:rPr>
          <w:color w:val="000000"/>
        </w:rPr>
        <w:t>——</w:t>
      </w:r>
      <w:r>
        <w:rPr>
          <w:rFonts w:hint="eastAsia" w:hAnsi="宋体" w:cs="宋体"/>
        </w:rPr>
        <w:t>ISO通用名称：ametryn；</w:t>
      </w:r>
    </w:p>
    <w:p w14:paraId="165C3373">
      <w:pPr>
        <w:pStyle w:val="23"/>
        <w:ind w:firstLine="440"/>
        <w:rPr>
          <w:rFonts w:hAnsi="宋体" w:cs="宋体"/>
        </w:rPr>
      </w:pPr>
      <w:r>
        <w:rPr>
          <w:color w:val="000000"/>
        </w:rPr>
        <w:t>——</w:t>
      </w:r>
      <w:r>
        <w:rPr>
          <w:rFonts w:hint="eastAsia" w:hAnsi="宋体" w:cs="宋体"/>
        </w:rPr>
        <w:t>CAS登录号：834-12-8；</w:t>
      </w:r>
    </w:p>
    <w:p w14:paraId="4A3FCD1D">
      <w:pPr>
        <w:pStyle w:val="23"/>
        <w:ind w:firstLine="440"/>
        <w:rPr>
          <w:rFonts w:hAnsi="宋体" w:cs="宋体"/>
          <w:highlight w:val="yellow"/>
          <w:vertAlign w:val="superscript"/>
        </w:rPr>
      </w:pPr>
      <w:r>
        <w:rPr>
          <w:color w:val="000000"/>
        </w:rPr>
        <w:t>——</w:t>
      </w:r>
      <w:r>
        <w:rPr>
          <w:rFonts w:hint="eastAsia" w:hAnsi="宋体" w:cs="宋体"/>
        </w:rPr>
        <w:t>化学名称：</w:t>
      </w:r>
      <w:r>
        <w:rPr>
          <w:rFonts w:ascii="Times New Roman"/>
          <w:i/>
          <w:iCs/>
        </w:rPr>
        <w:t>N</w:t>
      </w:r>
      <w:r>
        <w:rPr>
          <w:rFonts w:ascii="Times New Roman"/>
          <w:vertAlign w:val="superscript"/>
        </w:rPr>
        <w:t>2</w:t>
      </w:r>
      <w:r>
        <w:rPr>
          <w:rFonts w:hAnsi="宋体" w:cs="宋体"/>
          <w:szCs w:val="21"/>
        </w:rPr>
        <w:t>-</w:t>
      </w:r>
      <w:r>
        <w:rPr>
          <w:rFonts w:hint="eastAsia" w:hAnsi="宋体" w:cs="宋体"/>
          <w:szCs w:val="21"/>
        </w:rPr>
        <w:t>乙基-6-（甲硫基）-</w:t>
      </w:r>
      <w:r>
        <w:rPr>
          <w:rFonts w:ascii="Times New Roman"/>
          <w:i/>
          <w:iCs/>
          <w:szCs w:val="21"/>
        </w:rPr>
        <w:t>N</w:t>
      </w:r>
      <w:r>
        <w:rPr>
          <w:rFonts w:ascii="Times New Roman"/>
          <w:szCs w:val="21"/>
          <w:vertAlign w:val="superscript"/>
        </w:rPr>
        <w:t>4</w:t>
      </w:r>
      <w:r>
        <w:rPr>
          <w:rFonts w:hint="eastAsia" w:hAnsi="宋体" w:cs="宋体"/>
          <w:szCs w:val="21"/>
        </w:rPr>
        <w:t>-（异丙基）-</w:t>
      </w:r>
      <w:r>
        <w:rPr>
          <w:rFonts w:hAnsi="宋体" w:cs="宋体"/>
          <w:szCs w:val="21"/>
        </w:rPr>
        <w:t>1,3,5-三嗪</w:t>
      </w:r>
      <w:r>
        <w:rPr>
          <w:rFonts w:hint="eastAsia" w:hAnsi="宋体" w:cs="宋体"/>
          <w:szCs w:val="21"/>
        </w:rPr>
        <w:t>-2</w:t>
      </w:r>
      <w:r>
        <w:rPr>
          <w:rFonts w:hAnsi="宋体" w:cs="宋体"/>
          <w:szCs w:val="21"/>
        </w:rPr>
        <w:t>,</w:t>
      </w:r>
      <w:r>
        <w:rPr>
          <w:rFonts w:hint="eastAsia" w:hAnsi="宋体" w:cs="宋体"/>
          <w:szCs w:val="21"/>
        </w:rPr>
        <w:t>4二胺；</w:t>
      </w:r>
    </w:p>
    <w:p w14:paraId="26DACA94">
      <w:pPr>
        <w:pStyle w:val="23"/>
        <w:ind w:firstLine="440"/>
        <w:rPr>
          <w:rFonts w:hAnsi="宋体" w:cs="宋体"/>
        </w:rPr>
      </w:pPr>
      <w:bookmarkStart w:id="91" w:name="_Hlk53084945"/>
      <w:r>
        <w:rPr>
          <w:color w:val="000000"/>
        </w:rPr>
        <w:t>——</w:t>
      </w:r>
      <w:r>
        <w:rPr>
          <w:rFonts w:hint="eastAsia" w:hAnsi="宋体" w:cs="宋体"/>
        </w:rPr>
        <w:t>结构式：</w:t>
      </w:r>
    </w:p>
    <w:p w14:paraId="59D42524">
      <w:pPr>
        <w:pStyle w:val="23"/>
        <w:ind w:firstLine="0" w:firstLineChars="0"/>
        <w:jc w:val="center"/>
      </w:pPr>
      <w:r>
        <w:rPr>
          <w:rFonts w:hint="eastAsia" w:hAnsi="宋体" w:cs="宋体"/>
          <w:szCs w:val="21"/>
        </w:rPr>
        <w:object>
          <v:shape id="_x0000_i1030" o:spt="75" type="#_x0000_t75" style="height:64pt;width:119.35pt;" o:ole="t" filled="f" o:preferrelative="t" stroked="f" coordsize="21600,21600">
            <v:path/>
            <v:fill on="f" focussize="0,0"/>
            <v:stroke on="f" joinstyle="miter"/>
            <v:imagedata r:id="rId27" o:title=""/>
            <o:lock v:ext="edit" aspectratio="f"/>
            <w10:wrap type="none"/>
            <w10:anchorlock/>
          </v:shape>
          <o:OLEObject Type="Embed" ProgID="ChemDraw.Document.6.0" ShapeID="_x0000_i1030" DrawAspect="Content" ObjectID="_1468075730" r:id="rId26">
            <o:LockedField>false</o:LockedField>
          </o:OLEObject>
        </w:object>
      </w:r>
    </w:p>
    <w:p w14:paraId="119BB865">
      <w:pPr>
        <w:ind w:firstLine="424" w:firstLineChars="202"/>
        <w:rPr>
          <w:rFonts w:ascii="宋体" w:hAnsi="宋体" w:cs="宋体"/>
          <w:color w:val="000000"/>
          <w:szCs w:val="21"/>
        </w:rPr>
      </w:pPr>
      <w:r>
        <w:rPr>
          <w:color w:val="000000"/>
        </w:rPr>
        <w:t>——</w:t>
      </w:r>
      <w:r>
        <w:rPr>
          <w:rFonts w:hint="eastAsia" w:ascii="宋体" w:hAnsi="宋体" w:cs="宋体"/>
          <w:color w:val="000000"/>
        </w:rPr>
        <w:t>分子式</w:t>
      </w:r>
      <w:r>
        <w:rPr>
          <w:rFonts w:hint="eastAsia" w:ascii="宋体" w:hAnsi="宋体" w:cs="宋体"/>
          <w:color w:val="000000"/>
          <w:szCs w:val="21"/>
        </w:rPr>
        <w:t>：</w:t>
      </w:r>
      <w:r>
        <w:rPr>
          <w:rFonts w:hint="eastAsia" w:ascii="宋体" w:hAnsi="宋体" w:cs="宋体"/>
          <w:szCs w:val="21"/>
        </w:rPr>
        <w:t>C</w:t>
      </w:r>
      <w:r>
        <w:rPr>
          <w:rFonts w:ascii="Arial" w:hAnsi="Arial" w:cs="Arial"/>
          <w:szCs w:val="21"/>
          <w:vertAlign w:val="subscript"/>
        </w:rPr>
        <w:t>9</w:t>
      </w:r>
      <w:r>
        <w:rPr>
          <w:rFonts w:hint="eastAsia" w:ascii="宋体" w:hAnsi="宋体" w:cs="宋体"/>
          <w:szCs w:val="21"/>
        </w:rPr>
        <w:t>H</w:t>
      </w:r>
      <w:r>
        <w:rPr>
          <w:rFonts w:ascii="Arial" w:hAnsi="Arial" w:cs="Arial"/>
          <w:szCs w:val="21"/>
          <w:vertAlign w:val="subscript"/>
        </w:rPr>
        <w:t>17</w:t>
      </w:r>
      <w:r>
        <w:rPr>
          <w:rFonts w:hint="eastAsia" w:ascii="宋体" w:hAnsi="宋体" w:cs="宋体"/>
          <w:szCs w:val="21"/>
        </w:rPr>
        <w:t>N</w:t>
      </w:r>
      <w:r>
        <w:rPr>
          <w:rFonts w:ascii="Arial" w:hAnsi="Arial" w:cs="Arial"/>
          <w:szCs w:val="21"/>
          <w:vertAlign w:val="subscript"/>
        </w:rPr>
        <w:t>5</w:t>
      </w:r>
      <w:r>
        <w:rPr>
          <w:rFonts w:hint="eastAsia" w:ascii="宋体" w:hAnsi="宋体" w:cs="宋体"/>
          <w:szCs w:val="21"/>
        </w:rPr>
        <w:t>S</w:t>
      </w:r>
      <w:r>
        <w:rPr>
          <w:rFonts w:hint="eastAsia" w:ascii="宋体" w:hAnsi="宋体" w:cs="宋体"/>
          <w:color w:val="000000"/>
          <w:szCs w:val="21"/>
          <w:shd w:val="clear" w:color="auto" w:fill="FFFFFF"/>
        </w:rPr>
        <w:t>；</w:t>
      </w:r>
    </w:p>
    <w:p w14:paraId="63D81872">
      <w:pPr>
        <w:ind w:firstLine="420" w:firstLineChars="200"/>
        <w:rPr>
          <w:rFonts w:ascii="宋体" w:hAnsi="宋体" w:cs="宋体"/>
          <w:color w:val="000000"/>
          <w:szCs w:val="21"/>
        </w:rPr>
      </w:pPr>
      <w:r>
        <w:rPr>
          <w:color w:val="000000"/>
        </w:rPr>
        <w:t>——</w:t>
      </w:r>
      <w:r>
        <w:rPr>
          <w:rFonts w:hint="eastAsia" w:ascii="宋体" w:hAnsi="宋体" w:cs="宋体"/>
          <w:color w:val="000000"/>
          <w:szCs w:val="21"/>
        </w:rPr>
        <w:t>相对分子质量：227.3；</w:t>
      </w:r>
    </w:p>
    <w:p w14:paraId="2FAF9902">
      <w:pPr>
        <w:pStyle w:val="23"/>
        <w:snapToGrid w:val="0"/>
        <w:ind w:firstLine="440"/>
        <w:rPr>
          <w:rFonts w:hAnsi="宋体" w:cs="宋体"/>
          <w:color w:val="000000"/>
        </w:rPr>
      </w:pPr>
      <w:r>
        <w:rPr>
          <w:color w:val="000000"/>
        </w:rPr>
        <w:t>——</w:t>
      </w:r>
      <w:r>
        <w:rPr>
          <w:rFonts w:hint="eastAsia" w:hAnsi="宋体" w:cs="宋体"/>
          <w:color w:val="000000"/>
        </w:rPr>
        <w:t>生物活性：除草；</w:t>
      </w:r>
    </w:p>
    <w:bookmarkEnd w:id="91"/>
    <w:p w14:paraId="47956BDF">
      <w:pPr>
        <w:autoSpaceDE w:val="0"/>
        <w:autoSpaceDN w:val="0"/>
        <w:snapToGrid w:val="0"/>
        <w:ind w:firstLine="420" w:firstLineChars="200"/>
        <w:rPr>
          <w:rFonts w:ascii="宋体" w:hAnsi="宋体" w:cs="宋体"/>
          <w:szCs w:val="21"/>
        </w:rPr>
      </w:pPr>
      <w:r>
        <w:rPr>
          <w:color w:val="000000"/>
        </w:rPr>
        <w:t>——</w:t>
      </w:r>
      <w:r>
        <w:rPr>
          <w:rFonts w:hint="eastAsia" w:ascii="宋体" w:hAnsi="宋体" w:cs="Arial"/>
        </w:rPr>
        <w:t>熔点：86.3 ℃～87 ℃</w:t>
      </w:r>
      <w:r>
        <w:rPr>
          <w:rFonts w:hint="eastAsia" w:ascii="宋体" w:hAnsi="宋体" w:cs="宋体"/>
          <w:szCs w:val="21"/>
        </w:rPr>
        <w:t>；</w:t>
      </w:r>
    </w:p>
    <w:p w14:paraId="27B7E7B3">
      <w:pPr>
        <w:autoSpaceDE w:val="0"/>
        <w:autoSpaceDN w:val="0"/>
        <w:snapToGrid w:val="0"/>
        <w:ind w:firstLine="420" w:firstLineChars="200"/>
        <w:rPr>
          <w:rFonts w:ascii="宋体" w:hAnsi="宋体" w:cs="宋体"/>
          <w:szCs w:val="21"/>
        </w:rPr>
      </w:pPr>
      <w:r>
        <w:t>——</w:t>
      </w:r>
      <w:r>
        <w:rPr>
          <w:rFonts w:hint="eastAsia" w:ascii="宋体" w:hAnsi="宋体" w:cs="Arial"/>
        </w:rPr>
        <w:t>蒸气压（2</w:t>
      </w:r>
      <w:r>
        <w:rPr>
          <w:rFonts w:ascii="宋体" w:hAnsi="宋体" w:cs="Arial"/>
        </w:rPr>
        <w:t xml:space="preserve">5 </w:t>
      </w:r>
      <w:r>
        <w:rPr>
          <w:rFonts w:hint="eastAsia" w:ascii="宋体" w:hAnsi="宋体" w:cs="Arial"/>
        </w:rPr>
        <w:t>℃）：0.365 mPa</w:t>
      </w:r>
      <w:r>
        <w:rPr>
          <w:rFonts w:hint="eastAsia" w:ascii="宋体" w:hAnsi="宋体" w:cs="宋体"/>
          <w:szCs w:val="21"/>
        </w:rPr>
        <w:t>；</w:t>
      </w:r>
    </w:p>
    <w:p w14:paraId="7EAFDCFF">
      <w:pPr>
        <w:autoSpaceDE w:val="0"/>
        <w:autoSpaceDN w:val="0"/>
        <w:snapToGrid w:val="0"/>
        <w:ind w:firstLine="420" w:firstLineChars="200"/>
        <w:rPr>
          <w:rFonts w:ascii="宋体" w:hAnsi="宋体"/>
        </w:rPr>
      </w:pPr>
      <w:r>
        <w:t>——</w:t>
      </w:r>
      <w:r>
        <w:rPr>
          <w:rFonts w:hint="eastAsia" w:ascii="宋体" w:hAnsi="宋体"/>
        </w:rPr>
        <w:t>正辛醇-水分配系数</w:t>
      </w:r>
      <w:r>
        <w:rPr>
          <w:rFonts w:hint="eastAsia" w:ascii="宋体" w:hAnsi="宋体" w:cs="Arial"/>
        </w:rPr>
        <w:t>（</w:t>
      </w:r>
      <w:r>
        <w:rPr>
          <w:rFonts w:ascii="宋体" w:hAnsi="宋体" w:cs="Arial"/>
        </w:rPr>
        <w:t xml:space="preserve">log </w:t>
      </w:r>
      <w:r>
        <w:rPr>
          <w:rFonts w:hint="eastAsia" w:ascii="宋体" w:hAnsi="宋体" w:cs="Arial"/>
        </w:rPr>
        <w:t>P</w:t>
      </w:r>
      <w:r>
        <w:rPr>
          <w:rFonts w:ascii="宋体" w:hAnsi="宋体" w:cs="Arial"/>
          <w:vertAlign w:val="subscript"/>
        </w:rPr>
        <w:t>ow</w:t>
      </w:r>
      <w:r>
        <w:rPr>
          <w:rFonts w:hint="eastAsia" w:ascii="宋体" w:hAnsi="宋体" w:cs="Arial"/>
        </w:rPr>
        <w:t>）：</w:t>
      </w:r>
      <w:r>
        <w:rPr>
          <w:rFonts w:hint="eastAsia" w:ascii="宋体" w:hAnsi="宋体"/>
        </w:rPr>
        <w:t>2.63</w:t>
      </w:r>
      <w:r>
        <w:rPr>
          <w:rFonts w:hint="eastAsia" w:ascii="宋体" w:hAnsi="宋体" w:cs="宋体"/>
          <w:szCs w:val="21"/>
        </w:rPr>
        <w:t>；</w:t>
      </w:r>
    </w:p>
    <w:p w14:paraId="7AA9BB57">
      <w:pPr>
        <w:ind w:firstLine="420" w:firstLineChars="200"/>
        <w:rPr>
          <w:rFonts w:hAnsi="宋体" w:cs="Arial"/>
          <w:szCs w:val="21"/>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w:t>
      </w:r>
      <w:r>
        <w:rPr>
          <w:rFonts w:hint="eastAsia" w:ascii="宋体" w:hAnsi="宋体" w:cs="宋体"/>
          <w:color w:val="333333"/>
          <w:szCs w:val="21"/>
          <w:shd w:val="clear" w:color="auto" w:fill="FFFFFF"/>
        </w:rPr>
        <w:t>水中200 mg/L（pH 7.1），丙酮中 610，正己烷中 12，甲醇中 510，正辛醇中 220，甲苯中 470</w:t>
      </w:r>
      <w:r>
        <w:rPr>
          <w:rFonts w:hint="eastAsia" w:hAnsi="宋体" w:cs="宋体"/>
          <w:color w:val="333333"/>
          <w:szCs w:val="21"/>
          <w:shd w:val="clear" w:color="auto" w:fill="FFFFFF"/>
        </w:rPr>
        <w:t>。</w:t>
      </w:r>
    </w:p>
    <w:p w14:paraId="603FE39A">
      <w:pPr>
        <w:pStyle w:val="110"/>
        <w:tabs>
          <w:tab w:val="clear" w:pos="360"/>
        </w:tabs>
        <w:spacing w:before="312" w:after="312"/>
      </w:pPr>
      <w:r>
        <w:rPr>
          <w:rFonts w:hint="eastAsia" w:ascii="Times New Roman"/>
        </w:rPr>
        <w:t>西草净</w:t>
      </w:r>
    </w:p>
    <w:p w14:paraId="692746D5">
      <w:pPr>
        <w:pStyle w:val="23"/>
        <w:ind w:firstLine="440"/>
      </w:pPr>
      <w:r>
        <w:rPr>
          <w:rFonts w:hint="eastAsia" w:hAnsi="黑体" w:cs="黑体"/>
        </w:rPr>
        <w:t>西草净的其他名称、结构式和基本物化参数</w:t>
      </w:r>
      <w:r>
        <w:rPr>
          <w:rFonts w:hint="eastAsia" w:hAnsi="宋体" w:cs="宋体"/>
        </w:rPr>
        <w:t>如下：</w:t>
      </w:r>
    </w:p>
    <w:p w14:paraId="7D64DD85">
      <w:pPr>
        <w:pStyle w:val="23"/>
        <w:ind w:firstLine="440"/>
        <w:rPr>
          <w:rFonts w:hAnsi="宋体" w:cs="宋体"/>
        </w:rPr>
      </w:pPr>
      <w:r>
        <w:rPr>
          <w:color w:val="000000"/>
        </w:rPr>
        <w:t>——</w:t>
      </w:r>
      <w:r>
        <w:rPr>
          <w:rFonts w:hint="eastAsia" w:hAnsi="宋体" w:cs="宋体"/>
        </w:rPr>
        <w:t>ISO通用名称：simetryn；</w:t>
      </w:r>
    </w:p>
    <w:p w14:paraId="07C26612">
      <w:pPr>
        <w:pStyle w:val="23"/>
        <w:ind w:firstLine="440"/>
        <w:rPr>
          <w:rFonts w:hAnsi="宋体" w:cs="宋体"/>
        </w:rPr>
      </w:pPr>
      <w:r>
        <w:rPr>
          <w:color w:val="000000"/>
        </w:rPr>
        <w:t>——</w:t>
      </w:r>
      <w:r>
        <w:rPr>
          <w:rFonts w:hint="eastAsia" w:hAnsi="宋体" w:cs="宋体"/>
        </w:rPr>
        <w:t>CAS登录号：1014-70-6；</w:t>
      </w:r>
    </w:p>
    <w:p w14:paraId="67424FBF">
      <w:pPr>
        <w:pStyle w:val="23"/>
        <w:ind w:firstLine="440"/>
        <w:rPr>
          <w:rFonts w:hAnsi="宋体" w:cs="宋体"/>
        </w:rPr>
      </w:pPr>
      <w:r>
        <w:rPr>
          <w:color w:val="000000"/>
        </w:rPr>
        <w:t>——</w:t>
      </w:r>
      <w:r>
        <w:rPr>
          <w:rFonts w:hint="eastAsia" w:hAnsi="宋体" w:cs="宋体"/>
        </w:rPr>
        <w:t>化学名称：</w:t>
      </w:r>
      <w:r>
        <w:rPr>
          <w:rFonts w:ascii="Times New Roman"/>
          <w:i/>
          <w:iCs/>
          <w:color w:val="000000"/>
          <w:szCs w:val="21"/>
        </w:rPr>
        <w:t>N</w:t>
      </w:r>
      <w:r>
        <w:rPr>
          <w:rFonts w:ascii="Times New Roman"/>
          <w:i/>
          <w:iCs/>
          <w:color w:val="000000"/>
          <w:szCs w:val="21"/>
          <w:vertAlign w:val="superscript"/>
        </w:rPr>
        <w:t>2</w:t>
      </w:r>
      <w:r>
        <w:rPr>
          <w:rFonts w:hint="eastAsia" w:hAnsi="宋体" w:cs="宋体"/>
          <w:color w:val="000000"/>
          <w:szCs w:val="21"/>
        </w:rPr>
        <w:t>,</w:t>
      </w:r>
      <w:r>
        <w:rPr>
          <w:rFonts w:ascii="Times New Roman"/>
          <w:i/>
          <w:iCs/>
          <w:color w:val="000000"/>
          <w:szCs w:val="21"/>
        </w:rPr>
        <w:t>N</w:t>
      </w:r>
      <w:r>
        <w:rPr>
          <w:rFonts w:ascii="Times New Roman"/>
          <w:i/>
          <w:iCs/>
          <w:color w:val="000000"/>
          <w:szCs w:val="21"/>
          <w:vertAlign w:val="superscript"/>
        </w:rPr>
        <w:t>4</w:t>
      </w:r>
      <w:r>
        <w:rPr>
          <w:rFonts w:ascii="Times New Roman"/>
          <w:color w:val="000000"/>
          <w:szCs w:val="21"/>
          <w:vertAlign w:val="superscript"/>
        </w:rPr>
        <w:t xml:space="preserve"> </w:t>
      </w:r>
      <w:r>
        <w:rPr>
          <w:rFonts w:hint="eastAsia" w:hAnsi="宋体" w:cs="宋体"/>
          <w:color w:val="000000"/>
          <w:szCs w:val="21"/>
        </w:rPr>
        <w:t>-二乙基-6-(甲硫基) -1,3,5 -三嗪-2,4-二胺；</w:t>
      </w:r>
    </w:p>
    <w:p w14:paraId="7D4D37AC">
      <w:pPr>
        <w:pStyle w:val="23"/>
        <w:ind w:firstLine="440"/>
        <w:rPr>
          <w:rFonts w:hAnsi="宋体" w:cs="宋体"/>
        </w:rPr>
      </w:pPr>
      <w:r>
        <w:rPr>
          <w:color w:val="000000"/>
        </w:rPr>
        <w:t>——</w:t>
      </w:r>
      <w:r>
        <w:rPr>
          <w:rFonts w:hint="eastAsia" w:hAnsi="宋体" w:cs="宋体"/>
        </w:rPr>
        <w:t>结构式：</w:t>
      </w:r>
    </w:p>
    <w:p w14:paraId="74DC2048">
      <w:pPr>
        <w:pStyle w:val="23"/>
        <w:ind w:firstLine="0" w:firstLineChars="0"/>
        <w:jc w:val="center"/>
        <w:rPr>
          <w:rFonts w:hAnsi="宋体" w:cs="宋体"/>
        </w:rPr>
      </w:pPr>
      <w:r>
        <w:rPr>
          <w:rFonts w:hint="eastAsia" w:hAnsi="宋体" w:cs="宋体"/>
          <w:szCs w:val="21"/>
        </w:rPr>
        <w:object>
          <v:shape id="_x0000_i1031" o:spt="75" type="#_x0000_t75" style="height:67.35pt;width:121.35pt;" o:ole="t" filled="t" o:preferrelative="t" stroked="f" coordsize="21600,21600">
            <v:path/>
            <v:fill on="t" focussize="0,0"/>
            <v:stroke on="f" joinstyle="miter"/>
            <v:imagedata r:id="rId29" o:title=""/>
            <o:lock v:ext="edit" aspectratio="t"/>
            <w10:wrap type="none"/>
            <w10:anchorlock/>
          </v:shape>
          <o:OLEObject Type="Embed" ProgID="ChemDraw.Document.6.0" ShapeID="_x0000_i1031" DrawAspect="Content" ObjectID="_1468075731" r:id="rId28">
            <o:LockedField>false</o:LockedField>
          </o:OLEObject>
        </w:object>
      </w:r>
    </w:p>
    <w:p w14:paraId="2E12A36E">
      <w:pPr>
        <w:ind w:firstLine="424" w:firstLineChars="202"/>
        <w:rPr>
          <w:rFonts w:ascii="宋体" w:hAnsi="宋体" w:cs="宋体"/>
          <w:color w:val="000000"/>
          <w:szCs w:val="21"/>
        </w:rPr>
      </w:pPr>
      <w:r>
        <w:rPr>
          <w:color w:val="000000"/>
        </w:rPr>
        <w:t>——</w:t>
      </w:r>
      <w:r>
        <w:rPr>
          <w:rFonts w:hint="eastAsia" w:ascii="宋体" w:hAnsi="宋体" w:cs="宋体"/>
          <w:color w:val="000000"/>
        </w:rPr>
        <w:t>分子式</w:t>
      </w:r>
      <w:r>
        <w:rPr>
          <w:rFonts w:hint="eastAsia" w:ascii="宋体" w:hAnsi="宋体" w:cs="宋体"/>
          <w:color w:val="000000"/>
          <w:szCs w:val="21"/>
        </w:rPr>
        <w:t>：</w:t>
      </w:r>
      <w:r>
        <w:rPr>
          <w:rFonts w:hint="eastAsia" w:ascii="宋体" w:hAnsi="宋体" w:cs="宋体"/>
          <w:szCs w:val="21"/>
        </w:rPr>
        <w:t>C</w:t>
      </w:r>
      <w:r>
        <w:rPr>
          <w:rFonts w:ascii="Arial" w:hAnsi="Arial" w:cs="Arial"/>
          <w:szCs w:val="21"/>
          <w:vertAlign w:val="subscript"/>
        </w:rPr>
        <w:t>8</w:t>
      </w:r>
      <w:r>
        <w:rPr>
          <w:rFonts w:hint="eastAsia" w:ascii="宋体" w:hAnsi="宋体" w:cs="宋体"/>
          <w:szCs w:val="21"/>
        </w:rPr>
        <w:t>H</w:t>
      </w:r>
      <w:r>
        <w:rPr>
          <w:rFonts w:ascii="Arial" w:hAnsi="Arial" w:cs="Arial"/>
          <w:szCs w:val="21"/>
          <w:vertAlign w:val="subscript"/>
        </w:rPr>
        <w:t>15</w:t>
      </w:r>
      <w:r>
        <w:rPr>
          <w:rFonts w:hint="eastAsia" w:ascii="宋体" w:hAnsi="宋体" w:cs="宋体"/>
          <w:szCs w:val="21"/>
        </w:rPr>
        <w:t>N</w:t>
      </w:r>
      <w:r>
        <w:rPr>
          <w:rFonts w:ascii="Arial" w:hAnsi="Arial" w:cs="Arial"/>
          <w:szCs w:val="21"/>
          <w:vertAlign w:val="subscript"/>
        </w:rPr>
        <w:t>5</w:t>
      </w:r>
      <w:r>
        <w:rPr>
          <w:rFonts w:hint="eastAsia" w:ascii="宋体" w:hAnsi="宋体" w:cs="宋体"/>
          <w:szCs w:val="21"/>
        </w:rPr>
        <w:t>S</w:t>
      </w:r>
      <w:r>
        <w:rPr>
          <w:rFonts w:hint="eastAsia" w:ascii="宋体" w:hAnsi="宋体" w:cs="宋体"/>
          <w:color w:val="000000"/>
          <w:szCs w:val="21"/>
          <w:shd w:val="clear" w:color="auto" w:fill="FFFFFF"/>
        </w:rPr>
        <w:t>；</w:t>
      </w:r>
    </w:p>
    <w:p w14:paraId="33A45E57">
      <w:pPr>
        <w:ind w:firstLine="420" w:firstLineChars="200"/>
        <w:rPr>
          <w:rFonts w:ascii="宋体" w:hAnsi="宋体" w:cs="宋体"/>
          <w:color w:val="000000"/>
          <w:szCs w:val="21"/>
        </w:rPr>
      </w:pPr>
      <w:r>
        <w:rPr>
          <w:color w:val="000000"/>
        </w:rPr>
        <w:t>——</w:t>
      </w:r>
      <w:r>
        <w:rPr>
          <w:rFonts w:hint="eastAsia" w:ascii="宋体" w:hAnsi="宋体" w:cs="宋体"/>
          <w:color w:val="000000"/>
          <w:szCs w:val="21"/>
        </w:rPr>
        <w:t>相对分子质量：213.3；</w:t>
      </w:r>
    </w:p>
    <w:p w14:paraId="7C193D31">
      <w:pPr>
        <w:ind w:firstLine="420" w:firstLineChars="200"/>
        <w:rPr>
          <w:rFonts w:hAnsi="宋体"/>
        </w:rPr>
      </w:pPr>
      <w:r>
        <w:t>——</w:t>
      </w:r>
      <w:r>
        <w:rPr>
          <w:rFonts w:hint="eastAsia" w:ascii="宋体" w:hAnsi="宋体" w:cs="Arial"/>
        </w:rPr>
        <w:t>溶解度（20</w:t>
      </w:r>
      <w:r>
        <w:rPr>
          <w:rFonts w:ascii="宋体" w:hAnsi="宋体" w:cs="Arial"/>
        </w:rPr>
        <w:t xml:space="preserve"> </w:t>
      </w:r>
      <w:r>
        <w:rPr>
          <w:rFonts w:hint="eastAsia" w:ascii="宋体" w:hAnsi="宋体" w:cs="Arial"/>
        </w:rPr>
        <w:t>℃～2</w:t>
      </w:r>
      <w:r>
        <w:rPr>
          <w:rFonts w:ascii="宋体" w:hAnsi="宋体" w:cs="Arial"/>
        </w:rPr>
        <w:t>5</w:t>
      </w:r>
      <w:r>
        <w:rPr>
          <w:rFonts w:hint="eastAsia" w:ascii="宋体" w:hAnsi="宋体" w:cs="Arial"/>
        </w:rPr>
        <w:t xml:space="preserve"> ℃，</w:t>
      </w:r>
      <w:r>
        <w:rPr>
          <w:rFonts w:ascii="宋体" w:hAnsi="宋体" w:cs="Arial"/>
        </w:rPr>
        <w:t>g/L</w:t>
      </w:r>
      <w:r>
        <w:rPr>
          <w:rFonts w:hint="eastAsia" w:ascii="宋体" w:hAnsi="宋体" w:cs="Arial"/>
        </w:rPr>
        <w:t>）：</w:t>
      </w:r>
      <w:r>
        <w:rPr>
          <w:rFonts w:hint="eastAsia" w:ascii="宋体" w:hAnsi="宋体" w:cs="宋体"/>
          <w:color w:val="333333"/>
          <w:szCs w:val="21"/>
          <w:shd w:val="clear" w:color="auto" w:fill="FFFFFF"/>
        </w:rPr>
        <w:t>水中428 mg/L，</w:t>
      </w:r>
      <w:r>
        <w:rPr>
          <w:rFonts w:hint="eastAsia" w:ascii="宋体" w:hAnsi="宋体" w:cs="Arial"/>
        </w:rPr>
        <w:t>丙酮中 875；二氯甲烷中 1422；乙酸乙酯中 657；正己烷中5；甲醇中 592；甲苯中574。</w:t>
      </w:r>
    </w:p>
    <w:p w14:paraId="02650900">
      <w:pPr>
        <w:pStyle w:val="137"/>
        <w:framePr w:w="2133" w:h="291" w:hRule="exact" w:wrap="around" w:y="286"/>
      </w:pPr>
      <w:r>
        <w:t>___________________________</w:t>
      </w:r>
    </w:p>
    <w:sectPr>
      <w:footerReference r:id="rId7" w:type="default"/>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0000010" w:usb3="00000000" w:csb0="0002009F" w:csb1="00000000"/>
  </w:font>
  <w:font w:name="Cambria Math">
    <w:panose1 w:val="02040503050406030204"/>
    <w:charset w:val="00"/>
    <w:family w:val="roman"/>
    <w:pitch w:val="default"/>
    <w:sig w:usb0="E00006FF" w:usb1="420024FF" w:usb2="02000000" w:usb3="00000000" w:csb0="200001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03AAB2">
    <w:pPr>
      <w:pStyle w:val="76"/>
    </w:pPr>
    <w:r>
      <w:fldChar w:fldCharType="begin"/>
    </w:r>
    <w:r>
      <w:instrText xml:space="preserve"> PAGE  \* MERGEFORMAT </w:instrText>
    </w:r>
    <w:r>
      <w:fldChar w:fldCharType="separate"/>
    </w:r>
    <w: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67FBA">
    <w:pPr>
      <w:pStyle w:val="51"/>
    </w:pPr>
    <w:r>
      <w:rPr>
        <w:rFonts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81DF1">
    <w:pPr>
      <w:pStyle w:val="17"/>
      <w:framePr w:wrap="around" w:vAnchor="text" w:hAnchor="margin" w:xAlign="outside" w:y="1"/>
      <w:rPr>
        <w:rStyle w:val="35"/>
      </w:rPr>
    </w:pPr>
    <w:r>
      <w:rPr>
        <w:rStyle w:val="35"/>
      </w:rPr>
      <w:fldChar w:fldCharType="begin"/>
    </w:r>
    <w:r>
      <w:rPr>
        <w:rStyle w:val="35"/>
      </w:rPr>
      <w:instrText xml:space="preserve">PAGE  </w:instrText>
    </w:r>
    <w:r>
      <w:rPr>
        <w:rStyle w:val="35"/>
      </w:rPr>
      <w:fldChar w:fldCharType="separate"/>
    </w:r>
    <w:r>
      <w:rPr>
        <w:rStyle w:val="35"/>
      </w:rPr>
      <w:t>13</w:t>
    </w:r>
    <w:r>
      <w:rPr>
        <w:rStyle w:val="35"/>
      </w:rPr>
      <w:fldChar w:fldCharType="end"/>
    </w:r>
  </w:p>
  <w:p w14:paraId="769D1EA8">
    <w:pPr>
      <w:pStyle w:val="51"/>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4B8A0">
    <w:pPr>
      <w:pStyle w:val="77"/>
    </w:pPr>
    <w:r>
      <w:t>GB/T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6C68">
    <w:pPr>
      <w:pStyle w:val="52"/>
    </w:pPr>
    <w:r>
      <w:t>GB/T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DD2CD3"/>
    <w:multiLevelType w:val="multilevel"/>
    <w:tmpl w:val="D9DD2CD3"/>
    <w:lvl w:ilvl="0" w:tentative="0">
      <w:start w:val="1"/>
      <w:numFmt w:val="decimal"/>
      <w:pStyle w:val="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6"/>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8"/>
      <w:suff w:val="nothing"/>
      <w:lvlText w:val="5.5.%3　"/>
      <w:lvlJc w:val="left"/>
      <w:pPr>
        <w:ind w:left="1419" w:firstLine="0"/>
      </w:pPr>
      <w:rPr>
        <w:rFonts w:hint="eastAsia" w:ascii="黑体" w:hAnsi="Times New Roman" w:eastAsia="黑体"/>
        <w:b w:val="0"/>
        <w:i w:val="0"/>
        <w:sz w:val="21"/>
      </w:rPr>
    </w:lvl>
    <w:lvl w:ilvl="3" w:tentative="0">
      <w:start w:val="1"/>
      <w:numFmt w:val="decimal"/>
      <w:pStyle w:val="10"/>
      <w:suff w:val="nothing"/>
      <w:lvlText w:val="5.5.%3.%4　"/>
      <w:lvlJc w:val="left"/>
      <w:pPr>
        <w:ind w:left="0" w:firstLine="0"/>
      </w:pPr>
      <w:rPr>
        <w:rFonts w:hint="eastAsia" w:ascii="黑体" w:hAnsi="黑体" w:eastAsia="黑体" w:cs="黑体"/>
        <w:b w:val="0"/>
        <w:i w:val="0"/>
        <w:sz w:val="21"/>
        <w:szCs w:val="21"/>
      </w:rPr>
    </w:lvl>
    <w:lvl w:ilvl="4" w:tentative="0">
      <w:start w:val="1"/>
      <w:numFmt w:val="decimal"/>
      <w:pStyle w:val="11"/>
      <w:suff w:val="nothing"/>
      <w:lvlText w:val="5.5.%3.%4.%5　"/>
      <w:lvlJc w:val="left"/>
      <w:pPr>
        <w:ind w:left="568" w:firstLine="0"/>
      </w:pPr>
      <w:rPr>
        <w:rFonts w:hint="eastAsia" w:ascii="黑体" w:hAnsi="黑体" w:eastAsia="黑体"/>
        <w:b w:val="0"/>
        <w:i w:val="0"/>
        <w:sz w:val="21"/>
        <w:szCs w:val="21"/>
      </w:rPr>
    </w:lvl>
    <w:lvl w:ilvl="5" w:tentative="0">
      <w:start w:val="1"/>
      <w:numFmt w:val="decimal"/>
      <w:pStyle w:val="1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ind w:left="3969" w:hanging="1418"/>
      </w:pPr>
      <w:rPr>
        <w:rFonts w:hint="eastAsia"/>
      </w:rPr>
    </w:lvl>
    <w:lvl w:ilvl="8" w:tentative="0">
      <w:start w:val="1"/>
      <w:numFmt w:val="decimal"/>
      <w:lvlText w:val="%1.%2.%3.%4.%5.%6.%7.%8.%9"/>
      <w:lvlJc w:val="left"/>
      <w:pPr>
        <w:ind w:left="4677" w:hanging="1700"/>
      </w:pPr>
      <w:rPr>
        <w:rFonts w:hint="eastAsia"/>
      </w:rPr>
    </w:lvl>
  </w:abstractNum>
  <w:abstractNum w:abstractNumId="1">
    <w:nsid w:val="040A15CD"/>
    <w:multiLevelType w:val="multilevel"/>
    <w:tmpl w:val="040A15CD"/>
    <w:lvl w:ilvl="0" w:tentative="0">
      <w:start w:val="1"/>
      <w:numFmt w:val="none"/>
      <w:suff w:val="nothing"/>
      <w:lvlText w:val="　"/>
      <w:lvlJc w:val="left"/>
      <w:rPr>
        <w:rFonts w:hint="eastAsia" w:ascii="黑体" w:hAnsi="Times New Roman" w:eastAsia="黑体" w:cs="Times New Roman"/>
        <w:b w:val="0"/>
        <w:i w:val="0"/>
        <w:sz w:val="21"/>
      </w:rPr>
    </w:lvl>
    <w:lvl w:ilvl="1" w:tentative="0">
      <w:start w:val="1"/>
      <w:numFmt w:val="decimal"/>
      <w:isLgl/>
      <w:suff w:val="nothing"/>
      <w:lvlText w:val="%2　"/>
      <w:lvlJc w:val="left"/>
      <w:rPr>
        <w:rFonts w:hint="eastAsia" w:ascii="黑体" w:hAnsi="Times New Roman" w:eastAsia="黑体" w:cs="Times New Roman"/>
        <w:b w:val="0"/>
        <w:i w:val="0"/>
        <w:snapToGrid/>
        <w:spacing w:val="0"/>
        <w:w w:val="100"/>
        <w:kern w:val="21"/>
        <w:sz w:val="21"/>
      </w:rPr>
    </w:lvl>
    <w:lvl w:ilvl="2" w:tentative="0">
      <w:start w:val="1"/>
      <w:numFmt w:val="decimal"/>
      <w:pStyle w:val="149"/>
      <w:suff w:val="nothing"/>
      <w:lvlText w:val="%1%2.%3　"/>
      <w:lvlJc w:val="left"/>
      <w:rPr>
        <w:rFonts w:hint="eastAsia" w:ascii="黑体" w:hAnsi="Times New Roman" w:eastAsia="黑体" w:cs="Times New Roman"/>
        <w:b w:val="0"/>
        <w:i w:val="0"/>
        <w:sz w:val="21"/>
      </w:rPr>
    </w:lvl>
    <w:lvl w:ilvl="3" w:tentative="0">
      <w:start w:val="1"/>
      <w:numFmt w:val="decimal"/>
      <w:pStyle w:val="145"/>
      <w:suff w:val="nothing"/>
      <w:lvlText w:val="%1%2.%3.%4　"/>
      <w:lvlJc w:val="left"/>
      <w:rPr>
        <w:rFonts w:hint="eastAsia" w:ascii="黑体" w:hAnsi="Times New Roman" w:eastAsia="黑体" w:cs="Times New Roman"/>
        <w:b w:val="0"/>
        <w:i w:val="0"/>
        <w:sz w:val="21"/>
      </w:rPr>
    </w:lvl>
    <w:lvl w:ilvl="4" w:tentative="0">
      <w:start w:val="1"/>
      <w:numFmt w:val="decimal"/>
      <w:pStyle w:val="146"/>
      <w:suff w:val="nothing"/>
      <w:lvlText w:val="%1%2.%3.%4.%5　"/>
      <w:lvlJc w:val="left"/>
      <w:rPr>
        <w:rFonts w:hint="eastAsia" w:ascii="黑体" w:hAnsi="Times New Roman" w:eastAsia="黑体" w:cs="Times New Roman"/>
        <w:b w:val="0"/>
        <w:i w:val="0"/>
        <w:sz w:val="21"/>
      </w:rPr>
    </w:lvl>
    <w:lvl w:ilvl="5" w:tentative="0">
      <w:start w:val="1"/>
      <w:numFmt w:val="decimal"/>
      <w:pStyle w:val="147"/>
      <w:suff w:val="nothing"/>
      <w:lvlText w:val="%1%2.%3.%4.%5.%6　"/>
      <w:lvlJc w:val="left"/>
      <w:rPr>
        <w:rFonts w:hint="eastAsia" w:ascii="黑体" w:hAnsi="Times New Roman" w:eastAsia="黑体" w:cs="Times New Roman"/>
        <w:b w:val="0"/>
        <w:i w:val="0"/>
        <w:sz w:val="21"/>
      </w:rPr>
    </w:lvl>
    <w:lvl w:ilvl="6" w:tentative="0">
      <w:start w:val="1"/>
      <w:numFmt w:val="decimal"/>
      <w:pStyle w:val="148"/>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2">
    <w:nsid w:val="079102AD"/>
    <w:multiLevelType w:val="multilevel"/>
    <w:tmpl w:val="079102AD"/>
    <w:lvl w:ilvl="0" w:tentative="0">
      <w:start w:val="1"/>
      <w:numFmt w:val="decimal"/>
      <w:pStyle w:val="66"/>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3">
    <w:nsid w:val="093C6778"/>
    <w:multiLevelType w:val="multilevel"/>
    <w:tmpl w:val="093C6778"/>
    <w:lvl w:ilvl="0" w:tentative="0">
      <w:start w:val="1"/>
      <w:numFmt w:val="decimal"/>
      <w:pStyle w:val="124"/>
      <w:suff w:val="nothing"/>
      <w:lvlText w:val="示例%1："/>
      <w:lvlJc w:val="left"/>
      <w:pPr>
        <w:ind w:firstLine="397"/>
      </w:pPr>
      <w:rPr>
        <w:rFonts w:hint="eastAsia" w:ascii="黑体" w:eastAsia="黑体" w:cs="Times New Roman"/>
        <w:sz w:val="18"/>
      </w:rPr>
    </w:lvl>
    <w:lvl w:ilvl="1" w:tentative="0">
      <w:start w:val="1"/>
      <w:numFmt w:val="lowerLetter"/>
      <w:lvlText w:val="%2)"/>
      <w:lvlJc w:val="left"/>
      <w:pPr>
        <w:ind w:left="840" w:hanging="420"/>
      </w:pP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4">
    <w:nsid w:val="0AE367E9"/>
    <w:multiLevelType w:val="multilevel"/>
    <w:tmpl w:val="0AE367E9"/>
    <w:lvl w:ilvl="0" w:tentative="0">
      <w:start w:val="1"/>
      <w:numFmt w:val="none"/>
      <w:pStyle w:val="60"/>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5">
    <w:nsid w:val="0DDE2B46"/>
    <w:multiLevelType w:val="multilevel"/>
    <w:tmpl w:val="0DDE2B46"/>
    <w:lvl w:ilvl="0" w:tentative="0">
      <w:start w:val="1"/>
      <w:numFmt w:val="lowerLetter"/>
      <w:pStyle w:val="129"/>
      <w:suff w:val="nothing"/>
      <w:lvlText w:val="%1   "/>
      <w:lvlJc w:val="left"/>
      <w:pPr>
        <w:ind w:left="544" w:hanging="181"/>
      </w:pPr>
      <w:rPr>
        <w:rFonts w:hint="eastAsia" w:ascii="宋体" w:eastAsia="宋体" w:cs="Times New Roman"/>
        <w:b w:val="0"/>
        <w:i w:val="0"/>
        <w:sz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6">
    <w:nsid w:val="1DBF583A"/>
    <w:multiLevelType w:val="multilevel"/>
    <w:tmpl w:val="1DBF583A"/>
    <w:lvl w:ilvl="0" w:tentative="0">
      <w:start w:val="1"/>
      <w:numFmt w:val="decimal"/>
      <w:pStyle w:val="73"/>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7">
    <w:nsid w:val="1FC91163"/>
    <w:multiLevelType w:val="multilevel"/>
    <w:tmpl w:val="1FC91163"/>
    <w:lvl w:ilvl="0" w:tentative="0">
      <w:start w:val="1"/>
      <w:numFmt w:val="decimal"/>
      <w:pStyle w:val="53"/>
      <w:suff w:val="nothing"/>
      <w:lvlText w:val="%1　"/>
      <w:lvlJc w:val="left"/>
      <w:rPr>
        <w:rFonts w:hint="eastAsia" w:ascii="黑体" w:hAnsi="Times New Roman" w:eastAsia="黑体" w:cs="Times New Roman"/>
        <w:b w:val="0"/>
        <w:i w:val="0"/>
        <w:sz w:val="21"/>
        <w:szCs w:val="21"/>
      </w:rPr>
    </w:lvl>
    <w:lvl w:ilvl="1" w:tentative="0">
      <w:start w:val="1"/>
      <w:numFmt w:val="decimal"/>
      <w:pStyle w:val="49"/>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4"/>
      <w:suff w:val="nothing"/>
      <w:lvlText w:val="%1.%2.%3　"/>
      <w:lvlJc w:val="left"/>
      <w:rPr>
        <w:rFonts w:hint="eastAsia" w:ascii="黑体" w:hAnsi="Times New Roman" w:eastAsia="黑体" w:cs="Times New Roman"/>
        <w:b w:val="0"/>
        <w:i w:val="0"/>
        <w:sz w:val="21"/>
      </w:rPr>
    </w:lvl>
    <w:lvl w:ilvl="3" w:tentative="0">
      <w:start w:val="1"/>
      <w:numFmt w:val="decimal"/>
      <w:pStyle w:val="59"/>
      <w:suff w:val="nothing"/>
      <w:lvlText w:val="%1.%2.%3.%4　"/>
      <w:lvlJc w:val="left"/>
      <w:rPr>
        <w:rFonts w:hint="eastAsia" w:ascii="黑体" w:hAnsi="Times New Roman" w:eastAsia="黑体" w:cs="Times New Roman"/>
        <w:b w:val="0"/>
        <w:i w:val="0"/>
        <w:sz w:val="21"/>
      </w:rPr>
    </w:lvl>
    <w:lvl w:ilvl="4" w:tentative="0">
      <w:start w:val="1"/>
      <w:numFmt w:val="decimal"/>
      <w:pStyle w:val="63"/>
      <w:suff w:val="nothing"/>
      <w:lvlText w:val="%1.%2.%3.%4.%5　"/>
      <w:lvlJc w:val="left"/>
      <w:pPr>
        <w:ind w:left="1701"/>
      </w:pPr>
      <w:rPr>
        <w:rFonts w:hint="eastAsia" w:ascii="黑体" w:hAnsi="Times New Roman" w:eastAsia="黑体" w:cs="Times New Roman"/>
        <w:b w:val="0"/>
        <w:i w:val="0"/>
        <w:sz w:val="21"/>
      </w:rPr>
    </w:lvl>
    <w:lvl w:ilvl="5" w:tentative="0">
      <w:start w:val="1"/>
      <w:numFmt w:val="decimal"/>
      <w:pStyle w:val="64"/>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8">
    <w:nsid w:val="2A8F7113"/>
    <w:multiLevelType w:val="multilevel"/>
    <w:tmpl w:val="2A8F7113"/>
    <w:lvl w:ilvl="0" w:tentative="0">
      <w:start w:val="1"/>
      <w:numFmt w:val="upperLetter"/>
      <w:pStyle w:val="106"/>
      <w:suff w:val="space"/>
      <w:lvlText w:val="%1"/>
      <w:lvlJc w:val="left"/>
      <w:pPr>
        <w:ind w:left="623" w:hanging="425"/>
      </w:pPr>
      <w:rPr>
        <w:rFonts w:hint="eastAsia" w:cs="Times New Roman"/>
      </w:rPr>
    </w:lvl>
    <w:lvl w:ilvl="1" w:tentative="0">
      <w:start w:val="1"/>
      <w:numFmt w:val="decimal"/>
      <w:pStyle w:val="107"/>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9">
    <w:nsid w:val="2C5917C3"/>
    <w:multiLevelType w:val="multilevel"/>
    <w:tmpl w:val="2C5917C3"/>
    <w:lvl w:ilvl="0" w:tentative="0">
      <w:start w:val="1"/>
      <w:numFmt w:val="none"/>
      <w:pStyle w:val="56"/>
      <w:suff w:val="nothing"/>
      <w:lvlText w:val="%1——"/>
      <w:lvlJc w:val="left"/>
      <w:pPr>
        <w:ind w:left="833" w:hanging="408"/>
      </w:pPr>
      <w:rPr>
        <w:rFonts w:hint="eastAsia" w:cs="Times New Roman"/>
      </w:rPr>
    </w:lvl>
    <w:lvl w:ilvl="1" w:tentative="0">
      <w:start w:val="1"/>
      <w:numFmt w:val="bullet"/>
      <w:pStyle w:val="57"/>
      <w:lvlText w:val=""/>
      <w:lvlJc w:val="left"/>
      <w:pPr>
        <w:tabs>
          <w:tab w:val="left" w:pos="760"/>
        </w:tabs>
        <w:ind w:left="1264" w:hanging="413"/>
      </w:pPr>
      <w:rPr>
        <w:rFonts w:hint="default" w:ascii="Symbol" w:hAnsi="Symbol"/>
        <w:color w:val="auto"/>
      </w:rPr>
    </w:lvl>
    <w:lvl w:ilvl="2" w:tentative="0">
      <w:start w:val="1"/>
      <w:numFmt w:val="bullet"/>
      <w:pStyle w:val="6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10">
    <w:nsid w:val="3D733618"/>
    <w:multiLevelType w:val="multilevel"/>
    <w:tmpl w:val="3D733618"/>
    <w:lvl w:ilvl="0" w:tentative="0">
      <w:start w:val="1"/>
      <w:numFmt w:val="decimal"/>
      <w:pStyle w:val="24"/>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11">
    <w:nsid w:val="44C50F90"/>
    <w:multiLevelType w:val="multilevel"/>
    <w:tmpl w:val="44C50F90"/>
    <w:lvl w:ilvl="0" w:tentative="0">
      <w:start w:val="1"/>
      <w:numFmt w:val="lowerLetter"/>
      <w:pStyle w:val="67"/>
      <w:lvlText w:val="%1)"/>
      <w:lvlJc w:val="left"/>
      <w:pPr>
        <w:tabs>
          <w:tab w:val="left" w:pos="840"/>
        </w:tabs>
        <w:ind w:left="839" w:hanging="419"/>
      </w:pPr>
      <w:rPr>
        <w:rFonts w:hint="eastAsia" w:ascii="宋体" w:eastAsia="宋体" w:cs="Times New Roman"/>
        <w:b w:val="0"/>
        <w:i w:val="0"/>
        <w:sz w:val="21"/>
        <w:szCs w:val="21"/>
      </w:rPr>
    </w:lvl>
    <w:lvl w:ilvl="1" w:tentative="0">
      <w:start w:val="1"/>
      <w:numFmt w:val="decimal"/>
      <w:pStyle w:val="62"/>
      <w:lvlText w:val="%2)"/>
      <w:lvlJc w:val="left"/>
      <w:pPr>
        <w:tabs>
          <w:tab w:val="left" w:pos="1260"/>
        </w:tabs>
        <w:ind w:left="1259" w:hanging="419"/>
      </w:pPr>
      <w:rPr>
        <w:rFonts w:hint="eastAsia" w:cs="Times New Roman"/>
      </w:rPr>
    </w:lvl>
    <w:lvl w:ilvl="2" w:tentative="0">
      <w:start w:val="1"/>
      <w:numFmt w:val="decimal"/>
      <w:pStyle w:val="69"/>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12">
    <w:nsid w:val="4B733A5F"/>
    <w:multiLevelType w:val="multilevel"/>
    <w:tmpl w:val="4B733A5F"/>
    <w:lvl w:ilvl="0" w:tentative="0">
      <w:start w:val="1"/>
      <w:numFmt w:val="decimal"/>
      <w:pStyle w:val="70"/>
      <w:suff w:val="nothing"/>
      <w:lvlText w:val="示例%1："/>
      <w:lvlJc w:val="left"/>
      <w:pPr>
        <w:ind w:firstLine="363"/>
      </w:pPr>
      <w:rPr>
        <w:rFonts w:hint="eastAsia" w:ascii="黑体" w:hAnsi="Times New Roman" w:eastAsia="黑体" w:cs="Times New Roman"/>
        <w:b w:val="0"/>
        <w:i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13">
    <w:nsid w:val="557C2AF5"/>
    <w:multiLevelType w:val="multilevel"/>
    <w:tmpl w:val="557C2AF5"/>
    <w:lvl w:ilvl="0" w:tentative="0">
      <w:start w:val="1"/>
      <w:numFmt w:val="decimal"/>
      <w:pStyle w:val="136"/>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11441"/>
        </w:tabs>
        <w:ind w:left="11059" w:hanging="1418"/>
      </w:pPr>
      <w:rPr>
        <w:rFonts w:hint="eastAsia" w:cs="Times New Roman"/>
      </w:rPr>
    </w:lvl>
    <w:lvl w:ilvl="8" w:tentative="0">
      <w:start w:val="1"/>
      <w:numFmt w:val="decimal"/>
      <w:lvlText w:val="%1.%2.%3.%4.%5.%6.%7.%8.%9"/>
      <w:lvlJc w:val="left"/>
      <w:pPr>
        <w:tabs>
          <w:tab w:val="left" w:pos="11867"/>
        </w:tabs>
        <w:ind w:left="11767" w:hanging="1700"/>
      </w:pPr>
      <w:rPr>
        <w:rFonts w:hint="eastAsia" w:cs="Times New Roman"/>
      </w:rPr>
    </w:lvl>
  </w:abstractNum>
  <w:abstractNum w:abstractNumId="14">
    <w:nsid w:val="60B55DC2"/>
    <w:multiLevelType w:val="multilevel"/>
    <w:tmpl w:val="60B55DC2"/>
    <w:lvl w:ilvl="0" w:tentative="0">
      <w:start w:val="1"/>
      <w:numFmt w:val="upperLetter"/>
      <w:pStyle w:val="94"/>
      <w:lvlText w:val="%1"/>
      <w:lvlJc w:val="left"/>
      <w:pPr>
        <w:tabs>
          <w:tab w:val="left" w:pos="5245"/>
        </w:tabs>
        <w:ind w:left="5245" w:hanging="425"/>
      </w:pPr>
      <w:rPr>
        <w:rFonts w:hint="eastAsia" w:cs="Times New Roman"/>
      </w:rPr>
    </w:lvl>
    <w:lvl w:ilvl="1" w:tentative="0">
      <w:start w:val="1"/>
      <w:numFmt w:val="decimal"/>
      <w:pStyle w:val="95"/>
      <w:suff w:val="nothing"/>
      <w:lvlText w:val="表%1.%2　"/>
      <w:lvlJc w:val="left"/>
      <w:pPr>
        <w:ind w:left="5812" w:hanging="567"/>
      </w:pPr>
      <w:rPr>
        <w:rFonts w:hint="eastAsia" w:cs="Times New Roman"/>
      </w:rPr>
    </w:lvl>
    <w:lvl w:ilvl="2" w:tentative="0">
      <w:start w:val="1"/>
      <w:numFmt w:val="decimal"/>
      <w:lvlText w:val="%1.%2.%3"/>
      <w:lvlJc w:val="left"/>
      <w:pPr>
        <w:tabs>
          <w:tab w:val="left" w:pos="6238"/>
        </w:tabs>
        <w:ind w:left="6238" w:hanging="567"/>
      </w:pPr>
      <w:rPr>
        <w:rFonts w:hint="eastAsia" w:cs="Times New Roman"/>
      </w:rPr>
    </w:lvl>
    <w:lvl w:ilvl="3" w:tentative="0">
      <w:start w:val="1"/>
      <w:numFmt w:val="decimal"/>
      <w:lvlText w:val="%1.%2.%3.%4"/>
      <w:lvlJc w:val="left"/>
      <w:pPr>
        <w:tabs>
          <w:tab w:val="left" w:pos="7536"/>
        </w:tabs>
        <w:ind w:left="6804" w:hanging="708"/>
      </w:pPr>
      <w:rPr>
        <w:rFonts w:hint="eastAsia" w:cs="Times New Roman"/>
      </w:rPr>
    </w:lvl>
    <w:lvl w:ilvl="4" w:tentative="0">
      <w:start w:val="1"/>
      <w:numFmt w:val="decimal"/>
      <w:lvlText w:val="%1.%2.%3.%4.%5"/>
      <w:lvlJc w:val="left"/>
      <w:pPr>
        <w:tabs>
          <w:tab w:val="left" w:pos="8321"/>
        </w:tabs>
        <w:ind w:left="7371" w:hanging="850"/>
      </w:pPr>
      <w:rPr>
        <w:rFonts w:hint="eastAsia" w:cs="Times New Roman"/>
      </w:rPr>
    </w:lvl>
    <w:lvl w:ilvl="5" w:tentative="0">
      <w:start w:val="1"/>
      <w:numFmt w:val="decimal"/>
      <w:lvlText w:val="%1.%2.%3.%4.%5.%6"/>
      <w:lvlJc w:val="left"/>
      <w:pPr>
        <w:tabs>
          <w:tab w:val="left" w:pos="9106"/>
        </w:tabs>
        <w:ind w:left="8080" w:hanging="1134"/>
      </w:pPr>
      <w:rPr>
        <w:rFonts w:hint="eastAsia" w:cs="Times New Roman"/>
      </w:rPr>
    </w:lvl>
    <w:lvl w:ilvl="6" w:tentative="0">
      <w:start w:val="1"/>
      <w:numFmt w:val="decimal"/>
      <w:lvlText w:val="%1.%2.%3.%4.%5.%6.%7"/>
      <w:lvlJc w:val="left"/>
      <w:pPr>
        <w:tabs>
          <w:tab w:val="left" w:pos="9891"/>
        </w:tabs>
        <w:ind w:left="8647" w:hanging="1276"/>
      </w:pPr>
      <w:rPr>
        <w:rFonts w:hint="eastAsia" w:cs="Times New Roman"/>
      </w:rPr>
    </w:lvl>
    <w:lvl w:ilvl="7" w:tentative="0">
      <w:start w:val="1"/>
      <w:numFmt w:val="decimal"/>
      <w:lvlText w:val="%1.%2.%3.%4.%5.%6.%7.%8"/>
      <w:lvlJc w:val="left"/>
      <w:pPr>
        <w:tabs>
          <w:tab w:val="left" w:pos="10676"/>
        </w:tabs>
        <w:ind w:left="9214" w:hanging="1418"/>
      </w:pPr>
      <w:rPr>
        <w:rFonts w:hint="eastAsia" w:cs="Times New Roman"/>
      </w:rPr>
    </w:lvl>
    <w:lvl w:ilvl="8" w:tentative="0">
      <w:start w:val="1"/>
      <w:numFmt w:val="decimal"/>
      <w:lvlText w:val="%1.%2.%3.%4.%5.%6.%7.%8.%9"/>
      <w:lvlJc w:val="left"/>
      <w:pPr>
        <w:tabs>
          <w:tab w:val="left" w:pos="11462"/>
        </w:tabs>
        <w:ind w:left="9922" w:hanging="1700"/>
      </w:pPr>
      <w:rPr>
        <w:rFonts w:hint="eastAsia" w:cs="Times New Roman"/>
      </w:rPr>
    </w:lvl>
  </w:abstractNum>
  <w:abstractNum w:abstractNumId="15">
    <w:nsid w:val="646260FA"/>
    <w:multiLevelType w:val="multilevel"/>
    <w:tmpl w:val="646260FA"/>
    <w:lvl w:ilvl="0" w:tentative="0">
      <w:start w:val="1"/>
      <w:numFmt w:val="decimal"/>
      <w:pStyle w:val="134"/>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6">
    <w:nsid w:val="657D3FBC"/>
    <w:multiLevelType w:val="multilevel"/>
    <w:tmpl w:val="657D3FBC"/>
    <w:lvl w:ilvl="0" w:tentative="0">
      <w:start w:val="1"/>
      <w:numFmt w:val="upperLetter"/>
      <w:pStyle w:val="92"/>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110"/>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111"/>
      <w:suff w:val="nothing"/>
      <w:lvlText w:val="%1.%2.%3　"/>
      <w:lvlJc w:val="left"/>
      <w:rPr>
        <w:rFonts w:hint="eastAsia" w:ascii="黑体" w:hAnsi="Times New Roman" w:eastAsia="黑体" w:cs="Times New Roman"/>
        <w:b w:val="0"/>
        <w:i w:val="0"/>
        <w:sz w:val="21"/>
      </w:rPr>
    </w:lvl>
    <w:lvl w:ilvl="3" w:tentative="0">
      <w:start w:val="1"/>
      <w:numFmt w:val="decimal"/>
      <w:pStyle w:val="96"/>
      <w:suff w:val="nothing"/>
      <w:lvlText w:val="%1.%2.%3.%4　"/>
      <w:lvlJc w:val="left"/>
      <w:rPr>
        <w:rFonts w:hint="eastAsia" w:ascii="黑体" w:hAnsi="Times New Roman" w:eastAsia="黑体" w:cs="Times New Roman"/>
        <w:b w:val="0"/>
        <w:i w:val="0"/>
        <w:sz w:val="21"/>
      </w:rPr>
    </w:lvl>
    <w:lvl w:ilvl="4" w:tentative="0">
      <w:start w:val="1"/>
      <w:numFmt w:val="decimal"/>
      <w:pStyle w:val="101"/>
      <w:suff w:val="nothing"/>
      <w:lvlText w:val="%1.%2.%3.%4.%5　"/>
      <w:lvlJc w:val="left"/>
      <w:rPr>
        <w:rFonts w:hint="eastAsia" w:ascii="黑体" w:hAnsi="Times New Roman" w:eastAsia="黑体" w:cs="Times New Roman"/>
        <w:b w:val="0"/>
        <w:i w:val="0"/>
        <w:sz w:val="21"/>
      </w:rPr>
    </w:lvl>
    <w:lvl w:ilvl="5" w:tentative="0">
      <w:start w:val="1"/>
      <w:numFmt w:val="decimal"/>
      <w:pStyle w:val="104"/>
      <w:suff w:val="nothing"/>
      <w:lvlText w:val="%1.%2.%3.%4.%5.%6　"/>
      <w:lvlJc w:val="left"/>
      <w:rPr>
        <w:rFonts w:hint="eastAsia" w:ascii="黑体" w:hAnsi="Times New Roman" w:eastAsia="黑体" w:cs="Times New Roman"/>
        <w:b w:val="0"/>
        <w:i w:val="0"/>
        <w:sz w:val="21"/>
      </w:rPr>
    </w:lvl>
    <w:lvl w:ilvl="6" w:tentative="0">
      <w:start w:val="1"/>
      <w:numFmt w:val="decimal"/>
      <w:pStyle w:val="108"/>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7">
    <w:nsid w:val="6D6C07CD"/>
    <w:multiLevelType w:val="multilevel"/>
    <w:tmpl w:val="6D6C07CD"/>
    <w:lvl w:ilvl="0" w:tentative="0">
      <w:start w:val="1"/>
      <w:numFmt w:val="lowerLetter"/>
      <w:pStyle w:val="113"/>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103"/>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18">
    <w:nsid w:val="6DBF04F4"/>
    <w:multiLevelType w:val="multilevel"/>
    <w:tmpl w:val="6DBF04F4"/>
    <w:lvl w:ilvl="0" w:tentative="0">
      <w:start w:val="1"/>
      <w:numFmt w:val="none"/>
      <w:pStyle w:val="65"/>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0"/>
  </w:num>
  <w:num w:numId="2">
    <w:abstractNumId w:val="10"/>
  </w:num>
  <w:num w:numId="3">
    <w:abstractNumId w:val="7"/>
  </w:num>
  <w:num w:numId="4">
    <w:abstractNumId w:val="9"/>
  </w:num>
  <w:num w:numId="5">
    <w:abstractNumId w:val="4"/>
  </w:num>
  <w:num w:numId="6">
    <w:abstractNumId w:val="11"/>
  </w:num>
  <w:num w:numId="7">
    <w:abstractNumId w:val="18"/>
  </w:num>
  <w:num w:numId="8">
    <w:abstractNumId w:val="2"/>
  </w:num>
  <w:num w:numId="9">
    <w:abstractNumId w:val="12"/>
  </w:num>
  <w:num w:numId="10">
    <w:abstractNumId w:val="6"/>
  </w:num>
  <w:num w:numId="11">
    <w:abstractNumId w:val="16"/>
  </w:num>
  <w:num w:numId="12">
    <w:abstractNumId w:val="14"/>
  </w:num>
  <w:num w:numId="13">
    <w:abstractNumId w:val="17"/>
  </w:num>
  <w:num w:numId="14">
    <w:abstractNumId w:val="8"/>
  </w:num>
  <w:num w:numId="15">
    <w:abstractNumId w:val="3"/>
  </w:num>
  <w:num w:numId="16">
    <w:abstractNumId w:val="5"/>
  </w:num>
  <w:num w:numId="17">
    <w:abstractNumId w:val="15"/>
  </w:num>
  <w:num w:numId="18">
    <w:abstractNumId w:val="13"/>
  </w:num>
  <w:num w:numId="19">
    <w:abstractNumId w:val="1"/>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 w:ilvl="0" w:tentative="1">
        <w:start w:val="1"/>
        <w:numFmt w:val="decimal"/>
        <w:suff w:val="nothing"/>
        <w:lvlText w:val="%1　"/>
        <w:lvlJc w:val="left"/>
        <w:rPr>
          <w:rFonts w:hint="eastAsia" w:ascii="黑体" w:hAnsi="Times New Roman" w:eastAsia="黑体" w:cs="Times New Roman"/>
          <w:b w:val="0"/>
          <w:i w:val="0"/>
          <w:sz w:val="21"/>
          <w:szCs w:val="21"/>
        </w:rPr>
      </w:lvl>
    </w:lvlOverride>
    <w:lvlOverride w:ilvl="1">
      <w:lvl w:ilvl="1" w:tentative="1">
        <w:start w:val="1"/>
        <w:numFmt w:val="decimal"/>
        <w:suff w:val="nothing"/>
        <w:lvlText w:val="%1.%2　"/>
        <w:lvlJc w:val="left"/>
        <w:pPr>
          <w:ind w:firstLine="567"/>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suff w:val="nothing"/>
        <w:lvlText w:val="%1.%2.%3　"/>
        <w:lvlJc w:val="left"/>
        <w:rPr>
          <w:rFonts w:hint="eastAsia" w:ascii="黑体" w:hAnsi="Times New Roman" w:eastAsia="黑体" w:cs="Times New Roman"/>
          <w:b w:val="0"/>
          <w:i w:val="0"/>
          <w:sz w:val="21"/>
        </w:rPr>
      </w:lvl>
    </w:lvlOverride>
    <w:lvlOverride w:ilvl="3">
      <w:lvl w:ilvl="3" w:tentative="1">
        <w:start w:val="1"/>
        <w:numFmt w:val="decimal"/>
        <w:suff w:val="nothing"/>
        <w:lvlText w:val="%1.%2.%3.%4　"/>
        <w:lvlJc w:val="left"/>
        <w:rPr>
          <w:rFonts w:hint="eastAsia" w:ascii="黑体" w:hAnsi="Times New Roman" w:eastAsia="黑体" w:cs="Times New Roman"/>
          <w:b w:val="0"/>
          <w:i w:val="0"/>
          <w:sz w:val="21"/>
        </w:rPr>
      </w:lvl>
    </w:lvlOverride>
    <w:lvlOverride w:ilvl="4">
      <w:lvl w:ilvl="4" w:tentative="1">
        <w:start w:val="1"/>
        <w:numFmt w:val="decimal"/>
        <w:suff w:val="nothing"/>
        <w:lvlText w:val="%1.%2.%3.%4.%5　"/>
        <w:lvlJc w:val="left"/>
        <w:rPr>
          <w:rFonts w:hint="eastAsia" w:ascii="黑体" w:hAnsi="Times New Roman" w:eastAsia="黑体" w:cs="Times New Roman"/>
          <w:b w:val="0"/>
          <w:i w:val="0"/>
          <w:sz w:val="21"/>
        </w:rPr>
      </w:lvl>
    </w:lvlOverride>
    <w:lvlOverride w:ilvl="5">
      <w:lvl w:ilvl="5" w:tentative="1">
        <w:start w:val="1"/>
        <w:numFmt w:val="decimal"/>
        <w:suff w:val="nothing"/>
        <w:lvlText w:val="%1.%2.%3.%4.%5.%6　"/>
        <w:lvlJc w:val="left"/>
        <w:rPr>
          <w:rFonts w:hint="eastAsia" w:ascii="黑体" w:hAnsi="Times New Roman" w:eastAsia="黑体" w:cs="Times New Roman"/>
          <w:b w:val="0"/>
          <w:i w:val="0"/>
          <w:sz w:val="21"/>
        </w:rPr>
      </w:lvl>
    </w:lvlOverride>
    <w:lvlOverride w:ilvl="6">
      <w:lvl w:ilvl="6" w:tentative="1">
        <w:start w:val="1"/>
        <w:numFmt w:val="decimal"/>
        <w:suff w:val="nothing"/>
        <w:lvlText w:val="%1%2.%3.%4.%5.%6.%7　"/>
        <w:lvlJc w:val="left"/>
        <w:rPr>
          <w:rFonts w:hint="eastAsia" w:ascii="黑体" w:hAnsi="Times New Roman" w:eastAsia="黑体" w:cs="Times New Roman"/>
          <w:b w:val="0"/>
          <w:i w:val="0"/>
          <w:sz w:val="21"/>
        </w:rPr>
      </w:lvl>
    </w:lvlOverride>
    <w:lvlOverride w:ilvl="7">
      <w:lvl w:ilvl="7" w:tentative="1">
        <w:start w:val="1"/>
        <w:numFmt w:val="decimal"/>
        <w:lvlText w:val="%1.%2.%3.%4.%5.%6.%7.%8"/>
        <w:lvlJc w:val="left"/>
        <w:pPr>
          <w:tabs>
            <w:tab w:val="left" w:pos="4351"/>
          </w:tabs>
          <w:ind w:left="3969" w:hanging="1418"/>
        </w:pPr>
        <w:rPr>
          <w:rFonts w:hint="eastAsia" w:cs="Times New Roman"/>
        </w:rPr>
      </w:lvl>
    </w:lvlOverride>
    <w:lvlOverride w:ilvl="8">
      <w:lvl w:ilvl="8" w:tentative="1">
        <w:start w:val="1"/>
        <w:numFmt w:val="decimal"/>
        <w:lvlText w:val="%1.%2.%3.%4.%5.%6.%7.%8.%9"/>
        <w:lvlJc w:val="left"/>
        <w:pPr>
          <w:tabs>
            <w:tab w:val="left" w:pos="4777"/>
          </w:tabs>
          <w:ind w:left="4677" w:hanging="1700"/>
        </w:pPr>
        <w:rPr>
          <w:rFonts w:hint="eastAsia"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1"/>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kzY2I4NjExOTRmYTc4YTAzM2YzOGM1NTAyNDM0NmEifQ=="/>
  </w:docVars>
  <w:rsids>
    <w:rsidRoot w:val="004E21E2"/>
    <w:rsid w:val="00000244"/>
    <w:rsid w:val="000008F7"/>
    <w:rsid w:val="0000185F"/>
    <w:rsid w:val="0000215D"/>
    <w:rsid w:val="0000586F"/>
    <w:rsid w:val="00013D86"/>
    <w:rsid w:val="00013E02"/>
    <w:rsid w:val="00014473"/>
    <w:rsid w:val="00015AED"/>
    <w:rsid w:val="00016E10"/>
    <w:rsid w:val="0002143C"/>
    <w:rsid w:val="0002266B"/>
    <w:rsid w:val="00025A65"/>
    <w:rsid w:val="00026C31"/>
    <w:rsid w:val="00027280"/>
    <w:rsid w:val="00027415"/>
    <w:rsid w:val="000320A7"/>
    <w:rsid w:val="00035925"/>
    <w:rsid w:val="0003598D"/>
    <w:rsid w:val="00041F07"/>
    <w:rsid w:val="00044654"/>
    <w:rsid w:val="00046B6C"/>
    <w:rsid w:val="00047088"/>
    <w:rsid w:val="00050580"/>
    <w:rsid w:val="00051D5C"/>
    <w:rsid w:val="00057C52"/>
    <w:rsid w:val="00057D72"/>
    <w:rsid w:val="000618B5"/>
    <w:rsid w:val="000629CD"/>
    <w:rsid w:val="0006681A"/>
    <w:rsid w:val="0006740D"/>
    <w:rsid w:val="00067CDF"/>
    <w:rsid w:val="0007053F"/>
    <w:rsid w:val="00074FBE"/>
    <w:rsid w:val="00082B79"/>
    <w:rsid w:val="00083A09"/>
    <w:rsid w:val="00084355"/>
    <w:rsid w:val="0009005E"/>
    <w:rsid w:val="00092213"/>
    <w:rsid w:val="000926AC"/>
    <w:rsid w:val="00092857"/>
    <w:rsid w:val="00093D01"/>
    <w:rsid w:val="000A1E3B"/>
    <w:rsid w:val="000A20A9"/>
    <w:rsid w:val="000A2811"/>
    <w:rsid w:val="000A2CB9"/>
    <w:rsid w:val="000A3B40"/>
    <w:rsid w:val="000A3B69"/>
    <w:rsid w:val="000A48B1"/>
    <w:rsid w:val="000B0FD9"/>
    <w:rsid w:val="000B1507"/>
    <w:rsid w:val="000B1747"/>
    <w:rsid w:val="000B2E3A"/>
    <w:rsid w:val="000B3143"/>
    <w:rsid w:val="000B515E"/>
    <w:rsid w:val="000B5429"/>
    <w:rsid w:val="000B5EA1"/>
    <w:rsid w:val="000C078B"/>
    <w:rsid w:val="000C6B05"/>
    <w:rsid w:val="000C6DD6"/>
    <w:rsid w:val="000C73D4"/>
    <w:rsid w:val="000C77BB"/>
    <w:rsid w:val="000C7F84"/>
    <w:rsid w:val="000D0E7C"/>
    <w:rsid w:val="000D1534"/>
    <w:rsid w:val="000D3D4C"/>
    <w:rsid w:val="000D4F51"/>
    <w:rsid w:val="000D718B"/>
    <w:rsid w:val="000E0C46"/>
    <w:rsid w:val="000E13FA"/>
    <w:rsid w:val="000E1D0A"/>
    <w:rsid w:val="000E3F43"/>
    <w:rsid w:val="000E71E7"/>
    <w:rsid w:val="000E7BF0"/>
    <w:rsid w:val="000F030C"/>
    <w:rsid w:val="000F129C"/>
    <w:rsid w:val="000F163B"/>
    <w:rsid w:val="000F2CEC"/>
    <w:rsid w:val="000F49E5"/>
    <w:rsid w:val="000F5272"/>
    <w:rsid w:val="001021E7"/>
    <w:rsid w:val="00104F53"/>
    <w:rsid w:val="00105684"/>
    <w:rsid w:val="001056DE"/>
    <w:rsid w:val="00110213"/>
    <w:rsid w:val="001124C0"/>
    <w:rsid w:val="0011627B"/>
    <w:rsid w:val="00116545"/>
    <w:rsid w:val="001208CA"/>
    <w:rsid w:val="001216E3"/>
    <w:rsid w:val="00125287"/>
    <w:rsid w:val="0012580E"/>
    <w:rsid w:val="00126E8D"/>
    <w:rsid w:val="0013175F"/>
    <w:rsid w:val="001319AA"/>
    <w:rsid w:val="00135C6C"/>
    <w:rsid w:val="00140550"/>
    <w:rsid w:val="00142475"/>
    <w:rsid w:val="001443AD"/>
    <w:rsid w:val="001479DB"/>
    <w:rsid w:val="001512B4"/>
    <w:rsid w:val="0015562E"/>
    <w:rsid w:val="0015684C"/>
    <w:rsid w:val="00157584"/>
    <w:rsid w:val="00160007"/>
    <w:rsid w:val="001620A5"/>
    <w:rsid w:val="001625E6"/>
    <w:rsid w:val="00164E53"/>
    <w:rsid w:val="00165204"/>
    <w:rsid w:val="00165E07"/>
    <w:rsid w:val="0016699D"/>
    <w:rsid w:val="00166D6D"/>
    <w:rsid w:val="00166FCC"/>
    <w:rsid w:val="00170A8C"/>
    <w:rsid w:val="0017208C"/>
    <w:rsid w:val="00173E8A"/>
    <w:rsid w:val="00174378"/>
    <w:rsid w:val="001744CA"/>
    <w:rsid w:val="00175159"/>
    <w:rsid w:val="00176108"/>
    <w:rsid w:val="00176208"/>
    <w:rsid w:val="00177924"/>
    <w:rsid w:val="0018211B"/>
    <w:rsid w:val="001840D3"/>
    <w:rsid w:val="001846CF"/>
    <w:rsid w:val="00185171"/>
    <w:rsid w:val="001852B7"/>
    <w:rsid w:val="00185A60"/>
    <w:rsid w:val="001900F8"/>
    <w:rsid w:val="00191258"/>
    <w:rsid w:val="00192680"/>
    <w:rsid w:val="00193037"/>
    <w:rsid w:val="00193A2C"/>
    <w:rsid w:val="001A288E"/>
    <w:rsid w:val="001A2F58"/>
    <w:rsid w:val="001A5504"/>
    <w:rsid w:val="001B6DC2"/>
    <w:rsid w:val="001C1297"/>
    <w:rsid w:val="001C149C"/>
    <w:rsid w:val="001C21AC"/>
    <w:rsid w:val="001C242F"/>
    <w:rsid w:val="001C47BA"/>
    <w:rsid w:val="001C4C98"/>
    <w:rsid w:val="001C59EA"/>
    <w:rsid w:val="001D07AC"/>
    <w:rsid w:val="001D0D74"/>
    <w:rsid w:val="001D406C"/>
    <w:rsid w:val="001D41EE"/>
    <w:rsid w:val="001D4F8C"/>
    <w:rsid w:val="001D5203"/>
    <w:rsid w:val="001D63C0"/>
    <w:rsid w:val="001D6C25"/>
    <w:rsid w:val="001E0380"/>
    <w:rsid w:val="001E12D0"/>
    <w:rsid w:val="001E13B1"/>
    <w:rsid w:val="001E195F"/>
    <w:rsid w:val="001E26FE"/>
    <w:rsid w:val="001E6F27"/>
    <w:rsid w:val="001E7415"/>
    <w:rsid w:val="001F1E97"/>
    <w:rsid w:val="001F1E9D"/>
    <w:rsid w:val="001F3A19"/>
    <w:rsid w:val="001F52C4"/>
    <w:rsid w:val="001F5AC8"/>
    <w:rsid w:val="001F674B"/>
    <w:rsid w:val="001F67FC"/>
    <w:rsid w:val="00203E85"/>
    <w:rsid w:val="00207933"/>
    <w:rsid w:val="00207C13"/>
    <w:rsid w:val="00216A45"/>
    <w:rsid w:val="002222E5"/>
    <w:rsid w:val="00226B80"/>
    <w:rsid w:val="0023040F"/>
    <w:rsid w:val="00231C65"/>
    <w:rsid w:val="00232E8C"/>
    <w:rsid w:val="00234467"/>
    <w:rsid w:val="00234663"/>
    <w:rsid w:val="00235BA8"/>
    <w:rsid w:val="00237D8D"/>
    <w:rsid w:val="002401F3"/>
    <w:rsid w:val="002404D0"/>
    <w:rsid w:val="00241432"/>
    <w:rsid w:val="00241DA2"/>
    <w:rsid w:val="0024282E"/>
    <w:rsid w:val="00242AC3"/>
    <w:rsid w:val="00247FEE"/>
    <w:rsid w:val="00250312"/>
    <w:rsid w:val="00250E7D"/>
    <w:rsid w:val="00254E24"/>
    <w:rsid w:val="002565D5"/>
    <w:rsid w:val="002622C0"/>
    <w:rsid w:val="00264F95"/>
    <w:rsid w:val="00266AD0"/>
    <w:rsid w:val="00267A91"/>
    <w:rsid w:val="00272FA4"/>
    <w:rsid w:val="002778AE"/>
    <w:rsid w:val="00280BB4"/>
    <w:rsid w:val="002825C1"/>
    <w:rsid w:val="0028269A"/>
    <w:rsid w:val="00283590"/>
    <w:rsid w:val="00283897"/>
    <w:rsid w:val="002861C8"/>
    <w:rsid w:val="00286973"/>
    <w:rsid w:val="00290370"/>
    <w:rsid w:val="0029087D"/>
    <w:rsid w:val="00294E70"/>
    <w:rsid w:val="00296645"/>
    <w:rsid w:val="002A1924"/>
    <w:rsid w:val="002A1C0E"/>
    <w:rsid w:val="002A44D7"/>
    <w:rsid w:val="002A4599"/>
    <w:rsid w:val="002A51F2"/>
    <w:rsid w:val="002A59C1"/>
    <w:rsid w:val="002A5F54"/>
    <w:rsid w:val="002A7420"/>
    <w:rsid w:val="002A7683"/>
    <w:rsid w:val="002B0F12"/>
    <w:rsid w:val="002B1308"/>
    <w:rsid w:val="002B3B65"/>
    <w:rsid w:val="002B4554"/>
    <w:rsid w:val="002B7CF4"/>
    <w:rsid w:val="002C3837"/>
    <w:rsid w:val="002C444A"/>
    <w:rsid w:val="002C6237"/>
    <w:rsid w:val="002C72D8"/>
    <w:rsid w:val="002D0B38"/>
    <w:rsid w:val="002D11FA"/>
    <w:rsid w:val="002D1E7F"/>
    <w:rsid w:val="002D2101"/>
    <w:rsid w:val="002D27F4"/>
    <w:rsid w:val="002D512B"/>
    <w:rsid w:val="002D77D1"/>
    <w:rsid w:val="002E0DDF"/>
    <w:rsid w:val="002E19DB"/>
    <w:rsid w:val="002E2906"/>
    <w:rsid w:val="002E3849"/>
    <w:rsid w:val="002E3EAE"/>
    <w:rsid w:val="002E5635"/>
    <w:rsid w:val="002E64C3"/>
    <w:rsid w:val="002E6A2C"/>
    <w:rsid w:val="002E7F50"/>
    <w:rsid w:val="002F1D8C"/>
    <w:rsid w:val="002F21DA"/>
    <w:rsid w:val="002F32E0"/>
    <w:rsid w:val="002F451D"/>
    <w:rsid w:val="002F4DA2"/>
    <w:rsid w:val="002F5295"/>
    <w:rsid w:val="002F6226"/>
    <w:rsid w:val="003006A1"/>
    <w:rsid w:val="00301F39"/>
    <w:rsid w:val="0030230B"/>
    <w:rsid w:val="003026CA"/>
    <w:rsid w:val="00320950"/>
    <w:rsid w:val="00321EDF"/>
    <w:rsid w:val="003235CD"/>
    <w:rsid w:val="00323617"/>
    <w:rsid w:val="00325926"/>
    <w:rsid w:val="00326346"/>
    <w:rsid w:val="00326C01"/>
    <w:rsid w:val="00327A8A"/>
    <w:rsid w:val="00327DD4"/>
    <w:rsid w:val="00330AA3"/>
    <w:rsid w:val="00333EFD"/>
    <w:rsid w:val="0033449D"/>
    <w:rsid w:val="00335D93"/>
    <w:rsid w:val="00336610"/>
    <w:rsid w:val="00340DC3"/>
    <w:rsid w:val="003410F8"/>
    <w:rsid w:val="00343F73"/>
    <w:rsid w:val="00345060"/>
    <w:rsid w:val="00346355"/>
    <w:rsid w:val="00352F7B"/>
    <w:rsid w:val="0035323B"/>
    <w:rsid w:val="003536C3"/>
    <w:rsid w:val="003543EF"/>
    <w:rsid w:val="003560A3"/>
    <w:rsid w:val="00357352"/>
    <w:rsid w:val="003609D2"/>
    <w:rsid w:val="003637BB"/>
    <w:rsid w:val="00363F22"/>
    <w:rsid w:val="00364E91"/>
    <w:rsid w:val="00365B28"/>
    <w:rsid w:val="003709AF"/>
    <w:rsid w:val="00371DC6"/>
    <w:rsid w:val="00373C6E"/>
    <w:rsid w:val="00375564"/>
    <w:rsid w:val="00376DAF"/>
    <w:rsid w:val="00380A9D"/>
    <w:rsid w:val="00383191"/>
    <w:rsid w:val="00385014"/>
    <w:rsid w:val="00386DED"/>
    <w:rsid w:val="00387D57"/>
    <w:rsid w:val="003912E7"/>
    <w:rsid w:val="0039151B"/>
    <w:rsid w:val="003915E5"/>
    <w:rsid w:val="00393947"/>
    <w:rsid w:val="00396284"/>
    <w:rsid w:val="00397A36"/>
    <w:rsid w:val="003A0BD4"/>
    <w:rsid w:val="003A2275"/>
    <w:rsid w:val="003A41FB"/>
    <w:rsid w:val="003A4239"/>
    <w:rsid w:val="003A6A4F"/>
    <w:rsid w:val="003A7088"/>
    <w:rsid w:val="003A71C2"/>
    <w:rsid w:val="003B00DF"/>
    <w:rsid w:val="003B1275"/>
    <w:rsid w:val="003B136E"/>
    <w:rsid w:val="003B1778"/>
    <w:rsid w:val="003B56C2"/>
    <w:rsid w:val="003B7297"/>
    <w:rsid w:val="003B73CA"/>
    <w:rsid w:val="003C0F48"/>
    <w:rsid w:val="003C11CB"/>
    <w:rsid w:val="003C61A9"/>
    <w:rsid w:val="003C638D"/>
    <w:rsid w:val="003C6E26"/>
    <w:rsid w:val="003C75F3"/>
    <w:rsid w:val="003C78A3"/>
    <w:rsid w:val="003D189A"/>
    <w:rsid w:val="003D22B5"/>
    <w:rsid w:val="003D5C61"/>
    <w:rsid w:val="003D6CF2"/>
    <w:rsid w:val="003E1867"/>
    <w:rsid w:val="003E4E5A"/>
    <w:rsid w:val="003E5729"/>
    <w:rsid w:val="003F0A3C"/>
    <w:rsid w:val="003F1FC3"/>
    <w:rsid w:val="003F4EE0"/>
    <w:rsid w:val="003F71BC"/>
    <w:rsid w:val="003F7C69"/>
    <w:rsid w:val="00401A20"/>
    <w:rsid w:val="00402153"/>
    <w:rsid w:val="00402FC1"/>
    <w:rsid w:val="00404892"/>
    <w:rsid w:val="00406ACA"/>
    <w:rsid w:val="004106F7"/>
    <w:rsid w:val="004111EC"/>
    <w:rsid w:val="00412FA9"/>
    <w:rsid w:val="004153C1"/>
    <w:rsid w:val="004174BF"/>
    <w:rsid w:val="00417C87"/>
    <w:rsid w:val="00420472"/>
    <w:rsid w:val="00425082"/>
    <w:rsid w:val="00426E74"/>
    <w:rsid w:val="00427399"/>
    <w:rsid w:val="004317C2"/>
    <w:rsid w:val="00431DEB"/>
    <w:rsid w:val="00433D2E"/>
    <w:rsid w:val="00433E04"/>
    <w:rsid w:val="00435FC2"/>
    <w:rsid w:val="00436123"/>
    <w:rsid w:val="00437AC4"/>
    <w:rsid w:val="004434B5"/>
    <w:rsid w:val="00445F32"/>
    <w:rsid w:val="00446B29"/>
    <w:rsid w:val="00447087"/>
    <w:rsid w:val="00447E84"/>
    <w:rsid w:val="0045341D"/>
    <w:rsid w:val="00453F9A"/>
    <w:rsid w:val="00457979"/>
    <w:rsid w:val="00465009"/>
    <w:rsid w:val="00465B66"/>
    <w:rsid w:val="0046686C"/>
    <w:rsid w:val="00466ABC"/>
    <w:rsid w:val="004705D1"/>
    <w:rsid w:val="00471E91"/>
    <w:rsid w:val="00474675"/>
    <w:rsid w:val="0047470C"/>
    <w:rsid w:val="00474E69"/>
    <w:rsid w:val="00483208"/>
    <w:rsid w:val="00483B10"/>
    <w:rsid w:val="00484EA5"/>
    <w:rsid w:val="004858E8"/>
    <w:rsid w:val="004861F6"/>
    <w:rsid w:val="004907C8"/>
    <w:rsid w:val="00495E54"/>
    <w:rsid w:val="004A088F"/>
    <w:rsid w:val="004A2D4B"/>
    <w:rsid w:val="004A33C8"/>
    <w:rsid w:val="004A35F9"/>
    <w:rsid w:val="004A46D8"/>
    <w:rsid w:val="004A5473"/>
    <w:rsid w:val="004A6C65"/>
    <w:rsid w:val="004B138F"/>
    <w:rsid w:val="004B24C1"/>
    <w:rsid w:val="004B51BD"/>
    <w:rsid w:val="004B6A20"/>
    <w:rsid w:val="004B6B82"/>
    <w:rsid w:val="004C292F"/>
    <w:rsid w:val="004C3313"/>
    <w:rsid w:val="004C5CAC"/>
    <w:rsid w:val="004C6DA9"/>
    <w:rsid w:val="004C7633"/>
    <w:rsid w:val="004C790F"/>
    <w:rsid w:val="004D44CF"/>
    <w:rsid w:val="004D75A6"/>
    <w:rsid w:val="004E0108"/>
    <w:rsid w:val="004E1491"/>
    <w:rsid w:val="004E21E2"/>
    <w:rsid w:val="004F26AB"/>
    <w:rsid w:val="004F64DA"/>
    <w:rsid w:val="004F754D"/>
    <w:rsid w:val="00501C08"/>
    <w:rsid w:val="00510280"/>
    <w:rsid w:val="0051200C"/>
    <w:rsid w:val="00513D73"/>
    <w:rsid w:val="005142AF"/>
    <w:rsid w:val="00514787"/>
    <w:rsid w:val="00514A43"/>
    <w:rsid w:val="00515E66"/>
    <w:rsid w:val="00517220"/>
    <w:rsid w:val="005174E5"/>
    <w:rsid w:val="005205C0"/>
    <w:rsid w:val="00522393"/>
    <w:rsid w:val="00522620"/>
    <w:rsid w:val="005233E3"/>
    <w:rsid w:val="005240CB"/>
    <w:rsid w:val="00525656"/>
    <w:rsid w:val="00526B8E"/>
    <w:rsid w:val="005277A5"/>
    <w:rsid w:val="00531457"/>
    <w:rsid w:val="0053151E"/>
    <w:rsid w:val="0053174F"/>
    <w:rsid w:val="00531AA6"/>
    <w:rsid w:val="00531CCB"/>
    <w:rsid w:val="00534C02"/>
    <w:rsid w:val="00537B18"/>
    <w:rsid w:val="0054264B"/>
    <w:rsid w:val="0054296D"/>
    <w:rsid w:val="00543786"/>
    <w:rsid w:val="00543B93"/>
    <w:rsid w:val="00544227"/>
    <w:rsid w:val="00546169"/>
    <w:rsid w:val="005469E7"/>
    <w:rsid w:val="005501D4"/>
    <w:rsid w:val="005533D7"/>
    <w:rsid w:val="00555B91"/>
    <w:rsid w:val="00557967"/>
    <w:rsid w:val="00561C4B"/>
    <w:rsid w:val="00561D4D"/>
    <w:rsid w:val="00563C88"/>
    <w:rsid w:val="005703DE"/>
    <w:rsid w:val="005714F9"/>
    <w:rsid w:val="00573FC8"/>
    <w:rsid w:val="005769A0"/>
    <w:rsid w:val="005769A6"/>
    <w:rsid w:val="00583B83"/>
    <w:rsid w:val="0058464E"/>
    <w:rsid w:val="00586092"/>
    <w:rsid w:val="00590211"/>
    <w:rsid w:val="00590A66"/>
    <w:rsid w:val="0059210B"/>
    <w:rsid w:val="005950D7"/>
    <w:rsid w:val="0059698E"/>
    <w:rsid w:val="005A01CB"/>
    <w:rsid w:val="005A1918"/>
    <w:rsid w:val="005A4F4D"/>
    <w:rsid w:val="005A58FF"/>
    <w:rsid w:val="005A5EAF"/>
    <w:rsid w:val="005A6287"/>
    <w:rsid w:val="005A64C0"/>
    <w:rsid w:val="005B3C11"/>
    <w:rsid w:val="005C1C28"/>
    <w:rsid w:val="005C420F"/>
    <w:rsid w:val="005C6DB5"/>
    <w:rsid w:val="005C76DC"/>
    <w:rsid w:val="005D31D5"/>
    <w:rsid w:val="005D5F3D"/>
    <w:rsid w:val="005E1060"/>
    <w:rsid w:val="005E119E"/>
    <w:rsid w:val="005E1902"/>
    <w:rsid w:val="005E19E7"/>
    <w:rsid w:val="005E2CF2"/>
    <w:rsid w:val="005E726E"/>
    <w:rsid w:val="005F4029"/>
    <w:rsid w:val="00603116"/>
    <w:rsid w:val="006036D4"/>
    <w:rsid w:val="00605357"/>
    <w:rsid w:val="00607E75"/>
    <w:rsid w:val="006116DA"/>
    <w:rsid w:val="00613A87"/>
    <w:rsid w:val="006154DC"/>
    <w:rsid w:val="006155EC"/>
    <w:rsid w:val="00616477"/>
    <w:rsid w:val="0061716C"/>
    <w:rsid w:val="006242F3"/>
    <w:rsid w:val="006243A1"/>
    <w:rsid w:val="00632E56"/>
    <w:rsid w:val="006345DD"/>
    <w:rsid w:val="00635CBA"/>
    <w:rsid w:val="0064338B"/>
    <w:rsid w:val="00646542"/>
    <w:rsid w:val="006504F4"/>
    <w:rsid w:val="00652953"/>
    <w:rsid w:val="00654B25"/>
    <w:rsid w:val="00654BC9"/>
    <w:rsid w:val="006552FD"/>
    <w:rsid w:val="00660985"/>
    <w:rsid w:val="006627B2"/>
    <w:rsid w:val="00663AF3"/>
    <w:rsid w:val="00666359"/>
    <w:rsid w:val="00666B6C"/>
    <w:rsid w:val="0067189B"/>
    <w:rsid w:val="006752A4"/>
    <w:rsid w:val="00675BE1"/>
    <w:rsid w:val="006801CD"/>
    <w:rsid w:val="00682189"/>
    <w:rsid w:val="00682682"/>
    <w:rsid w:val="00682702"/>
    <w:rsid w:val="0068608D"/>
    <w:rsid w:val="00692368"/>
    <w:rsid w:val="00692CD9"/>
    <w:rsid w:val="00693F0D"/>
    <w:rsid w:val="006A03BA"/>
    <w:rsid w:val="006A093E"/>
    <w:rsid w:val="006A0BAA"/>
    <w:rsid w:val="006A2EBC"/>
    <w:rsid w:val="006A5EA0"/>
    <w:rsid w:val="006A6CDE"/>
    <w:rsid w:val="006A783B"/>
    <w:rsid w:val="006A7B33"/>
    <w:rsid w:val="006B3969"/>
    <w:rsid w:val="006B43AD"/>
    <w:rsid w:val="006B445B"/>
    <w:rsid w:val="006B4A6A"/>
    <w:rsid w:val="006B4E13"/>
    <w:rsid w:val="006B75DD"/>
    <w:rsid w:val="006C03F2"/>
    <w:rsid w:val="006C5635"/>
    <w:rsid w:val="006C67E0"/>
    <w:rsid w:val="006C75CD"/>
    <w:rsid w:val="006C7ABA"/>
    <w:rsid w:val="006D020D"/>
    <w:rsid w:val="006D0D60"/>
    <w:rsid w:val="006D1122"/>
    <w:rsid w:val="006D1CA7"/>
    <w:rsid w:val="006D29DA"/>
    <w:rsid w:val="006D3BD3"/>
    <w:rsid w:val="006D3C00"/>
    <w:rsid w:val="006D690D"/>
    <w:rsid w:val="006D79A6"/>
    <w:rsid w:val="006E120C"/>
    <w:rsid w:val="006E3675"/>
    <w:rsid w:val="006E4A7F"/>
    <w:rsid w:val="006E6ED8"/>
    <w:rsid w:val="006F0E21"/>
    <w:rsid w:val="006F0FBF"/>
    <w:rsid w:val="006F0FD9"/>
    <w:rsid w:val="006F25A0"/>
    <w:rsid w:val="00704DF6"/>
    <w:rsid w:val="0070651C"/>
    <w:rsid w:val="00706632"/>
    <w:rsid w:val="007132A3"/>
    <w:rsid w:val="00716421"/>
    <w:rsid w:val="00717E64"/>
    <w:rsid w:val="007211A3"/>
    <w:rsid w:val="00721574"/>
    <w:rsid w:val="00722CB9"/>
    <w:rsid w:val="00724B57"/>
    <w:rsid w:val="00724CBD"/>
    <w:rsid w:val="00724EFB"/>
    <w:rsid w:val="007328B3"/>
    <w:rsid w:val="00734F7F"/>
    <w:rsid w:val="0073613F"/>
    <w:rsid w:val="007411B0"/>
    <w:rsid w:val="00741491"/>
    <w:rsid w:val="007419C3"/>
    <w:rsid w:val="007467A7"/>
    <w:rsid w:val="007469DD"/>
    <w:rsid w:val="0074741B"/>
    <w:rsid w:val="0074759E"/>
    <w:rsid w:val="007478EA"/>
    <w:rsid w:val="00752300"/>
    <w:rsid w:val="0075415C"/>
    <w:rsid w:val="0076208E"/>
    <w:rsid w:val="00762ECA"/>
    <w:rsid w:val="00763502"/>
    <w:rsid w:val="0076503A"/>
    <w:rsid w:val="00765F97"/>
    <w:rsid w:val="007668D7"/>
    <w:rsid w:val="00767577"/>
    <w:rsid w:val="00767902"/>
    <w:rsid w:val="007700EF"/>
    <w:rsid w:val="0077023E"/>
    <w:rsid w:val="00770498"/>
    <w:rsid w:val="007705B3"/>
    <w:rsid w:val="00774C3A"/>
    <w:rsid w:val="00783732"/>
    <w:rsid w:val="00785A2A"/>
    <w:rsid w:val="007913AB"/>
    <w:rsid w:val="007914F7"/>
    <w:rsid w:val="00792A05"/>
    <w:rsid w:val="007A263D"/>
    <w:rsid w:val="007A49BF"/>
    <w:rsid w:val="007A513B"/>
    <w:rsid w:val="007A5EAF"/>
    <w:rsid w:val="007B07F4"/>
    <w:rsid w:val="007B1625"/>
    <w:rsid w:val="007B2E50"/>
    <w:rsid w:val="007B4467"/>
    <w:rsid w:val="007B52A2"/>
    <w:rsid w:val="007B5623"/>
    <w:rsid w:val="007B706E"/>
    <w:rsid w:val="007B71EB"/>
    <w:rsid w:val="007C213A"/>
    <w:rsid w:val="007C2B92"/>
    <w:rsid w:val="007C6205"/>
    <w:rsid w:val="007C686A"/>
    <w:rsid w:val="007C728E"/>
    <w:rsid w:val="007C7769"/>
    <w:rsid w:val="007D0044"/>
    <w:rsid w:val="007D2C53"/>
    <w:rsid w:val="007D3D60"/>
    <w:rsid w:val="007D6804"/>
    <w:rsid w:val="007E1980"/>
    <w:rsid w:val="007E2395"/>
    <w:rsid w:val="007E38AB"/>
    <w:rsid w:val="007E4B76"/>
    <w:rsid w:val="007E5EA8"/>
    <w:rsid w:val="007E6DD4"/>
    <w:rsid w:val="007F0A7A"/>
    <w:rsid w:val="007F0CF1"/>
    <w:rsid w:val="007F12A5"/>
    <w:rsid w:val="007F24AF"/>
    <w:rsid w:val="007F453D"/>
    <w:rsid w:val="007F4CF1"/>
    <w:rsid w:val="007F758D"/>
    <w:rsid w:val="007F7D52"/>
    <w:rsid w:val="00802DE0"/>
    <w:rsid w:val="00804D0F"/>
    <w:rsid w:val="0080585E"/>
    <w:rsid w:val="0080654C"/>
    <w:rsid w:val="008071C6"/>
    <w:rsid w:val="00811A82"/>
    <w:rsid w:val="0081347D"/>
    <w:rsid w:val="00815379"/>
    <w:rsid w:val="0081782D"/>
    <w:rsid w:val="00817A00"/>
    <w:rsid w:val="00824F46"/>
    <w:rsid w:val="00830140"/>
    <w:rsid w:val="008303D5"/>
    <w:rsid w:val="00830A24"/>
    <w:rsid w:val="00831EE8"/>
    <w:rsid w:val="00833E6F"/>
    <w:rsid w:val="0083546F"/>
    <w:rsid w:val="00835918"/>
    <w:rsid w:val="00835DB3"/>
    <w:rsid w:val="0083617B"/>
    <w:rsid w:val="008371BD"/>
    <w:rsid w:val="0084248B"/>
    <w:rsid w:val="00850352"/>
    <w:rsid w:val="008504A8"/>
    <w:rsid w:val="0085282E"/>
    <w:rsid w:val="00860148"/>
    <w:rsid w:val="008677A0"/>
    <w:rsid w:val="0087198C"/>
    <w:rsid w:val="00872C1F"/>
    <w:rsid w:val="00873B42"/>
    <w:rsid w:val="008756DA"/>
    <w:rsid w:val="0087717D"/>
    <w:rsid w:val="0088211B"/>
    <w:rsid w:val="00885174"/>
    <w:rsid w:val="008856D8"/>
    <w:rsid w:val="00885989"/>
    <w:rsid w:val="00892E82"/>
    <w:rsid w:val="008A02A6"/>
    <w:rsid w:val="008A0349"/>
    <w:rsid w:val="008A5251"/>
    <w:rsid w:val="008A52BE"/>
    <w:rsid w:val="008A6394"/>
    <w:rsid w:val="008A6590"/>
    <w:rsid w:val="008C0307"/>
    <w:rsid w:val="008C1B58"/>
    <w:rsid w:val="008C1D47"/>
    <w:rsid w:val="008C39AE"/>
    <w:rsid w:val="008C590D"/>
    <w:rsid w:val="008E031B"/>
    <w:rsid w:val="008E1602"/>
    <w:rsid w:val="008E3762"/>
    <w:rsid w:val="008E3914"/>
    <w:rsid w:val="008E7029"/>
    <w:rsid w:val="008E7ACE"/>
    <w:rsid w:val="008E7EF6"/>
    <w:rsid w:val="008F13A6"/>
    <w:rsid w:val="008F1F98"/>
    <w:rsid w:val="008F56DF"/>
    <w:rsid w:val="008F644B"/>
    <w:rsid w:val="008F6758"/>
    <w:rsid w:val="00902956"/>
    <w:rsid w:val="009040DD"/>
    <w:rsid w:val="00905B47"/>
    <w:rsid w:val="009110CE"/>
    <w:rsid w:val="0091331C"/>
    <w:rsid w:val="009150E0"/>
    <w:rsid w:val="00915CEC"/>
    <w:rsid w:val="0091752C"/>
    <w:rsid w:val="00917C4C"/>
    <w:rsid w:val="009222B4"/>
    <w:rsid w:val="00922A43"/>
    <w:rsid w:val="00923C2B"/>
    <w:rsid w:val="009257BC"/>
    <w:rsid w:val="009279DE"/>
    <w:rsid w:val="00930116"/>
    <w:rsid w:val="00930F93"/>
    <w:rsid w:val="00931BE7"/>
    <w:rsid w:val="009406D1"/>
    <w:rsid w:val="009409D7"/>
    <w:rsid w:val="0094212C"/>
    <w:rsid w:val="0094357A"/>
    <w:rsid w:val="0094466F"/>
    <w:rsid w:val="0094682A"/>
    <w:rsid w:val="00946921"/>
    <w:rsid w:val="00947D25"/>
    <w:rsid w:val="0095210C"/>
    <w:rsid w:val="00952680"/>
    <w:rsid w:val="009528EA"/>
    <w:rsid w:val="00952B6E"/>
    <w:rsid w:val="00954689"/>
    <w:rsid w:val="009577EC"/>
    <w:rsid w:val="0096008B"/>
    <w:rsid w:val="009617C9"/>
    <w:rsid w:val="00961C93"/>
    <w:rsid w:val="00962363"/>
    <w:rsid w:val="00965324"/>
    <w:rsid w:val="00966206"/>
    <w:rsid w:val="00966AD1"/>
    <w:rsid w:val="0097091E"/>
    <w:rsid w:val="009760D3"/>
    <w:rsid w:val="00977132"/>
    <w:rsid w:val="009777FA"/>
    <w:rsid w:val="0098097D"/>
    <w:rsid w:val="009811DD"/>
    <w:rsid w:val="00981A4B"/>
    <w:rsid w:val="00982501"/>
    <w:rsid w:val="009840FA"/>
    <w:rsid w:val="009845FD"/>
    <w:rsid w:val="009848CE"/>
    <w:rsid w:val="009877D3"/>
    <w:rsid w:val="00991FF6"/>
    <w:rsid w:val="00994E8F"/>
    <w:rsid w:val="009951DC"/>
    <w:rsid w:val="009957BC"/>
    <w:rsid w:val="009959BB"/>
    <w:rsid w:val="00995EB0"/>
    <w:rsid w:val="00997158"/>
    <w:rsid w:val="009971EC"/>
    <w:rsid w:val="009A08F8"/>
    <w:rsid w:val="009A1052"/>
    <w:rsid w:val="009A27AE"/>
    <w:rsid w:val="009A3A7C"/>
    <w:rsid w:val="009A3EB8"/>
    <w:rsid w:val="009A64A5"/>
    <w:rsid w:val="009B2ADB"/>
    <w:rsid w:val="009B3B5C"/>
    <w:rsid w:val="009B42CD"/>
    <w:rsid w:val="009B603A"/>
    <w:rsid w:val="009B78AD"/>
    <w:rsid w:val="009C28FA"/>
    <w:rsid w:val="009C2D0E"/>
    <w:rsid w:val="009C32EF"/>
    <w:rsid w:val="009C3DAC"/>
    <w:rsid w:val="009C42E0"/>
    <w:rsid w:val="009C768B"/>
    <w:rsid w:val="009D032F"/>
    <w:rsid w:val="009D1ECC"/>
    <w:rsid w:val="009D2EF8"/>
    <w:rsid w:val="009D5362"/>
    <w:rsid w:val="009D65AD"/>
    <w:rsid w:val="009D7F19"/>
    <w:rsid w:val="009E1415"/>
    <w:rsid w:val="009E1846"/>
    <w:rsid w:val="009E26BA"/>
    <w:rsid w:val="009E6116"/>
    <w:rsid w:val="009F0CF7"/>
    <w:rsid w:val="009F27D9"/>
    <w:rsid w:val="009F36FC"/>
    <w:rsid w:val="009F4E9D"/>
    <w:rsid w:val="00A00948"/>
    <w:rsid w:val="00A02E43"/>
    <w:rsid w:val="00A045AA"/>
    <w:rsid w:val="00A065F9"/>
    <w:rsid w:val="00A07F34"/>
    <w:rsid w:val="00A11055"/>
    <w:rsid w:val="00A114EE"/>
    <w:rsid w:val="00A137F8"/>
    <w:rsid w:val="00A14F65"/>
    <w:rsid w:val="00A16318"/>
    <w:rsid w:val="00A16A93"/>
    <w:rsid w:val="00A22154"/>
    <w:rsid w:val="00A25C38"/>
    <w:rsid w:val="00A31608"/>
    <w:rsid w:val="00A36198"/>
    <w:rsid w:val="00A36BBE"/>
    <w:rsid w:val="00A4307A"/>
    <w:rsid w:val="00A459CD"/>
    <w:rsid w:val="00A47EBB"/>
    <w:rsid w:val="00A51CDD"/>
    <w:rsid w:val="00A51DA5"/>
    <w:rsid w:val="00A5676A"/>
    <w:rsid w:val="00A575B1"/>
    <w:rsid w:val="00A62A39"/>
    <w:rsid w:val="00A62AB3"/>
    <w:rsid w:val="00A632E2"/>
    <w:rsid w:val="00A635C9"/>
    <w:rsid w:val="00A636DB"/>
    <w:rsid w:val="00A6730D"/>
    <w:rsid w:val="00A67A63"/>
    <w:rsid w:val="00A70D34"/>
    <w:rsid w:val="00A71625"/>
    <w:rsid w:val="00A71840"/>
    <w:rsid w:val="00A71B9B"/>
    <w:rsid w:val="00A743B9"/>
    <w:rsid w:val="00A751C7"/>
    <w:rsid w:val="00A81F44"/>
    <w:rsid w:val="00A85B3A"/>
    <w:rsid w:val="00A872E3"/>
    <w:rsid w:val="00A87844"/>
    <w:rsid w:val="00A90514"/>
    <w:rsid w:val="00A90B0D"/>
    <w:rsid w:val="00A912B0"/>
    <w:rsid w:val="00A91A80"/>
    <w:rsid w:val="00A91C9B"/>
    <w:rsid w:val="00A95ADC"/>
    <w:rsid w:val="00AA038C"/>
    <w:rsid w:val="00AA2759"/>
    <w:rsid w:val="00AA4F42"/>
    <w:rsid w:val="00AA5C11"/>
    <w:rsid w:val="00AA717B"/>
    <w:rsid w:val="00AA75D1"/>
    <w:rsid w:val="00AA7A09"/>
    <w:rsid w:val="00AA7CE4"/>
    <w:rsid w:val="00AB0CB0"/>
    <w:rsid w:val="00AB35E9"/>
    <w:rsid w:val="00AB3B50"/>
    <w:rsid w:val="00AB7D37"/>
    <w:rsid w:val="00AC05B1"/>
    <w:rsid w:val="00AC1930"/>
    <w:rsid w:val="00AC3AEC"/>
    <w:rsid w:val="00AC4834"/>
    <w:rsid w:val="00AC7B8D"/>
    <w:rsid w:val="00AC7F2C"/>
    <w:rsid w:val="00AD356C"/>
    <w:rsid w:val="00AD356F"/>
    <w:rsid w:val="00AD52D3"/>
    <w:rsid w:val="00AD5825"/>
    <w:rsid w:val="00AE2914"/>
    <w:rsid w:val="00AE6BB9"/>
    <w:rsid w:val="00AE6D15"/>
    <w:rsid w:val="00AE6DB7"/>
    <w:rsid w:val="00AE7666"/>
    <w:rsid w:val="00AF3508"/>
    <w:rsid w:val="00AF367B"/>
    <w:rsid w:val="00B04182"/>
    <w:rsid w:val="00B055DE"/>
    <w:rsid w:val="00B062C5"/>
    <w:rsid w:val="00B07AE3"/>
    <w:rsid w:val="00B11430"/>
    <w:rsid w:val="00B11731"/>
    <w:rsid w:val="00B15D6B"/>
    <w:rsid w:val="00B20956"/>
    <w:rsid w:val="00B306CD"/>
    <w:rsid w:val="00B33216"/>
    <w:rsid w:val="00B353EB"/>
    <w:rsid w:val="00B35DBF"/>
    <w:rsid w:val="00B37702"/>
    <w:rsid w:val="00B40D67"/>
    <w:rsid w:val="00B42142"/>
    <w:rsid w:val="00B43843"/>
    <w:rsid w:val="00B439C4"/>
    <w:rsid w:val="00B44C87"/>
    <w:rsid w:val="00B44E23"/>
    <w:rsid w:val="00B452E2"/>
    <w:rsid w:val="00B4535E"/>
    <w:rsid w:val="00B5276D"/>
    <w:rsid w:val="00B527A2"/>
    <w:rsid w:val="00B52A8C"/>
    <w:rsid w:val="00B55346"/>
    <w:rsid w:val="00B636A8"/>
    <w:rsid w:val="00B64F23"/>
    <w:rsid w:val="00B6500F"/>
    <w:rsid w:val="00B665C6"/>
    <w:rsid w:val="00B6660D"/>
    <w:rsid w:val="00B66F8A"/>
    <w:rsid w:val="00B7008E"/>
    <w:rsid w:val="00B759C9"/>
    <w:rsid w:val="00B779FD"/>
    <w:rsid w:val="00B805AF"/>
    <w:rsid w:val="00B8089F"/>
    <w:rsid w:val="00B82655"/>
    <w:rsid w:val="00B82EC6"/>
    <w:rsid w:val="00B83117"/>
    <w:rsid w:val="00B851C7"/>
    <w:rsid w:val="00B869EC"/>
    <w:rsid w:val="00B92FE7"/>
    <w:rsid w:val="00B9397A"/>
    <w:rsid w:val="00B93F29"/>
    <w:rsid w:val="00B9633D"/>
    <w:rsid w:val="00BA2BAB"/>
    <w:rsid w:val="00BA2EBE"/>
    <w:rsid w:val="00BA5E9F"/>
    <w:rsid w:val="00BA624E"/>
    <w:rsid w:val="00BA742F"/>
    <w:rsid w:val="00BB08A7"/>
    <w:rsid w:val="00BB0F28"/>
    <w:rsid w:val="00BB2602"/>
    <w:rsid w:val="00BB2B5A"/>
    <w:rsid w:val="00BB456F"/>
    <w:rsid w:val="00BB458A"/>
    <w:rsid w:val="00BB6007"/>
    <w:rsid w:val="00BB7CBC"/>
    <w:rsid w:val="00BC0990"/>
    <w:rsid w:val="00BC1350"/>
    <w:rsid w:val="00BC1BCF"/>
    <w:rsid w:val="00BC20A3"/>
    <w:rsid w:val="00BC213E"/>
    <w:rsid w:val="00BC35C0"/>
    <w:rsid w:val="00BC62EB"/>
    <w:rsid w:val="00BD00D3"/>
    <w:rsid w:val="00BD1659"/>
    <w:rsid w:val="00BD1A85"/>
    <w:rsid w:val="00BD3AA9"/>
    <w:rsid w:val="00BD3C59"/>
    <w:rsid w:val="00BD46AE"/>
    <w:rsid w:val="00BD4864"/>
    <w:rsid w:val="00BD4A18"/>
    <w:rsid w:val="00BD6DB2"/>
    <w:rsid w:val="00BD717B"/>
    <w:rsid w:val="00BD768E"/>
    <w:rsid w:val="00BE0085"/>
    <w:rsid w:val="00BE01DD"/>
    <w:rsid w:val="00BE0BD5"/>
    <w:rsid w:val="00BE11CF"/>
    <w:rsid w:val="00BE1A36"/>
    <w:rsid w:val="00BE1AE1"/>
    <w:rsid w:val="00BE21AB"/>
    <w:rsid w:val="00BE2BFB"/>
    <w:rsid w:val="00BE4A0C"/>
    <w:rsid w:val="00BE55CB"/>
    <w:rsid w:val="00BF2627"/>
    <w:rsid w:val="00BF617A"/>
    <w:rsid w:val="00C01B9B"/>
    <w:rsid w:val="00C0379D"/>
    <w:rsid w:val="00C03931"/>
    <w:rsid w:val="00C05FE3"/>
    <w:rsid w:val="00C06D4B"/>
    <w:rsid w:val="00C10EA5"/>
    <w:rsid w:val="00C1231A"/>
    <w:rsid w:val="00C172D6"/>
    <w:rsid w:val="00C2136D"/>
    <w:rsid w:val="00C214EE"/>
    <w:rsid w:val="00C2314B"/>
    <w:rsid w:val="00C23666"/>
    <w:rsid w:val="00C24971"/>
    <w:rsid w:val="00C26BE5"/>
    <w:rsid w:val="00C26E4D"/>
    <w:rsid w:val="00C27909"/>
    <w:rsid w:val="00C27ABA"/>
    <w:rsid w:val="00C27B03"/>
    <w:rsid w:val="00C314E1"/>
    <w:rsid w:val="00C34397"/>
    <w:rsid w:val="00C353D1"/>
    <w:rsid w:val="00C35A23"/>
    <w:rsid w:val="00C36923"/>
    <w:rsid w:val="00C4095D"/>
    <w:rsid w:val="00C463A9"/>
    <w:rsid w:val="00C46CC6"/>
    <w:rsid w:val="00C477EB"/>
    <w:rsid w:val="00C601D2"/>
    <w:rsid w:val="00C65BCC"/>
    <w:rsid w:val="00C66970"/>
    <w:rsid w:val="00C67635"/>
    <w:rsid w:val="00C717D4"/>
    <w:rsid w:val="00C74415"/>
    <w:rsid w:val="00C766F6"/>
    <w:rsid w:val="00C76C67"/>
    <w:rsid w:val="00C8153F"/>
    <w:rsid w:val="00C82136"/>
    <w:rsid w:val="00C8691C"/>
    <w:rsid w:val="00C8723B"/>
    <w:rsid w:val="00C968FF"/>
    <w:rsid w:val="00CA0151"/>
    <w:rsid w:val="00CA0692"/>
    <w:rsid w:val="00CA168A"/>
    <w:rsid w:val="00CA357E"/>
    <w:rsid w:val="00CA44F9"/>
    <w:rsid w:val="00CA4A69"/>
    <w:rsid w:val="00CA6606"/>
    <w:rsid w:val="00CA7CF8"/>
    <w:rsid w:val="00CB0D86"/>
    <w:rsid w:val="00CC0E24"/>
    <w:rsid w:val="00CC3E0C"/>
    <w:rsid w:val="00CC58D3"/>
    <w:rsid w:val="00CC784D"/>
    <w:rsid w:val="00CC7A28"/>
    <w:rsid w:val="00CE1F32"/>
    <w:rsid w:val="00CE35DE"/>
    <w:rsid w:val="00CE4F60"/>
    <w:rsid w:val="00CE5A06"/>
    <w:rsid w:val="00CF2FDB"/>
    <w:rsid w:val="00CF36FB"/>
    <w:rsid w:val="00CF6D2D"/>
    <w:rsid w:val="00D0259E"/>
    <w:rsid w:val="00D0337B"/>
    <w:rsid w:val="00D03FF2"/>
    <w:rsid w:val="00D079B2"/>
    <w:rsid w:val="00D07B8B"/>
    <w:rsid w:val="00D105F7"/>
    <w:rsid w:val="00D10D4B"/>
    <w:rsid w:val="00D114E9"/>
    <w:rsid w:val="00D14624"/>
    <w:rsid w:val="00D14C6C"/>
    <w:rsid w:val="00D16118"/>
    <w:rsid w:val="00D21CF2"/>
    <w:rsid w:val="00D23660"/>
    <w:rsid w:val="00D240AE"/>
    <w:rsid w:val="00D24C57"/>
    <w:rsid w:val="00D25C9E"/>
    <w:rsid w:val="00D26D33"/>
    <w:rsid w:val="00D31CF7"/>
    <w:rsid w:val="00D344FA"/>
    <w:rsid w:val="00D42130"/>
    <w:rsid w:val="00D429C6"/>
    <w:rsid w:val="00D459BA"/>
    <w:rsid w:val="00D4741E"/>
    <w:rsid w:val="00D47748"/>
    <w:rsid w:val="00D47B31"/>
    <w:rsid w:val="00D54CC3"/>
    <w:rsid w:val="00D6041A"/>
    <w:rsid w:val="00D62958"/>
    <w:rsid w:val="00D62C48"/>
    <w:rsid w:val="00D633EB"/>
    <w:rsid w:val="00D641F3"/>
    <w:rsid w:val="00D64B1D"/>
    <w:rsid w:val="00D67D3B"/>
    <w:rsid w:val="00D71A99"/>
    <w:rsid w:val="00D71AA9"/>
    <w:rsid w:val="00D82637"/>
    <w:rsid w:val="00D82C43"/>
    <w:rsid w:val="00D82FF7"/>
    <w:rsid w:val="00D847FE"/>
    <w:rsid w:val="00D872D6"/>
    <w:rsid w:val="00D91E22"/>
    <w:rsid w:val="00D94E6E"/>
    <w:rsid w:val="00D95B2E"/>
    <w:rsid w:val="00D964EA"/>
    <w:rsid w:val="00D966D0"/>
    <w:rsid w:val="00D973D2"/>
    <w:rsid w:val="00DA075A"/>
    <w:rsid w:val="00DA0C59"/>
    <w:rsid w:val="00DA1142"/>
    <w:rsid w:val="00DA1BA7"/>
    <w:rsid w:val="00DA239E"/>
    <w:rsid w:val="00DA3991"/>
    <w:rsid w:val="00DA558D"/>
    <w:rsid w:val="00DA56B1"/>
    <w:rsid w:val="00DA60C4"/>
    <w:rsid w:val="00DA7D18"/>
    <w:rsid w:val="00DB179D"/>
    <w:rsid w:val="00DB6366"/>
    <w:rsid w:val="00DB7321"/>
    <w:rsid w:val="00DB7E6C"/>
    <w:rsid w:val="00DC324F"/>
    <w:rsid w:val="00DC32AF"/>
    <w:rsid w:val="00DC3DB4"/>
    <w:rsid w:val="00DC5E27"/>
    <w:rsid w:val="00DD00E2"/>
    <w:rsid w:val="00DD2944"/>
    <w:rsid w:val="00DD311F"/>
    <w:rsid w:val="00DD5A29"/>
    <w:rsid w:val="00DD5D9D"/>
    <w:rsid w:val="00DD603A"/>
    <w:rsid w:val="00DD667E"/>
    <w:rsid w:val="00DD730C"/>
    <w:rsid w:val="00DE094B"/>
    <w:rsid w:val="00DE35CB"/>
    <w:rsid w:val="00DE3A48"/>
    <w:rsid w:val="00DE526E"/>
    <w:rsid w:val="00DE71EB"/>
    <w:rsid w:val="00DF000C"/>
    <w:rsid w:val="00DF0F1E"/>
    <w:rsid w:val="00DF21E9"/>
    <w:rsid w:val="00DF2D28"/>
    <w:rsid w:val="00DF3998"/>
    <w:rsid w:val="00DF70CC"/>
    <w:rsid w:val="00E00F14"/>
    <w:rsid w:val="00E03041"/>
    <w:rsid w:val="00E06386"/>
    <w:rsid w:val="00E1030F"/>
    <w:rsid w:val="00E147C1"/>
    <w:rsid w:val="00E169D1"/>
    <w:rsid w:val="00E2113B"/>
    <w:rsid w:val="00E21A46"/>
    <w:rsid w:val="00E23446"/>
    <w:rsid w:val="00E24EB4"/>
    <w:rsid w:val="00E25D10"/>
    <w:rsid w:val="00E2791D"/>
    <w:rsid w:val="00E3122C"/>
    <w:rsid w:val="00E320ED"/>
    <w:rsid w:val="00E33AFB"/>
    <w:rsid w:val="00E34218"/>
    <w:rsid w:val="00E3636A"/>
    <w:rsid w:val="00E42013"/>
    <w:rsid w:val="00E44BAC"/>
    <w:rsid w:val="00E44C35"/>
    <w:rsid w:val="00E459E3"/>
    <w:rsid w:val="00E46282"/>
    <w:rsid w:val="00E5216E"/>
    <w:rsid w:val="00E52C94"/>
    <w:rsid w:val="00E549DF"/>
    <w:rsid w:val="00E5530D"/>
    <w:rsid w:val="00E56056"/>
    <w:rsid w:val="00E6437A"/>
    <w:rsid w:val="00E67028"/>
    <w:rsid w:val="00E702A8"/>
    <w:rsid w:val="00E720BA"/>
    <w:rsid w:val="00E727B5"/>
    <w:rsid w:val="00E7453F"/>
    <w:rsid w:val="00E758A7"/>
    <w:rsid w:val="00E767C7"/>
    <w:rsid w:val="00E768E5"/>
    <w:rsid w:val="00E80990"/>
    <w:rsid w:val="00E82344"/>
    <w:rsid w:val="00E831AF"/>
    <w:rsid w:val="00E835CA"/>
    <w:rsid w:val="00E84C82"/>
    <w:rsid w:val="00E84D64"/>
    <w:rsid w:val="00E87408"/>
    <w:rsid w:val="00E901A3"/>
    <w:rsid w:val="00E914C4"/>
    <w:rsid w:val="00E9196F"/>
    <w:rsid w:val="00E91C81"/>
    <w:rsid w:val="00E934F5"/>
    <w:rsid w:val="00E9586A"/>
    <w:rsid w:val="00E95DC5"/>
    <w:rsid w:val="00E96961"/>
    <w:rsid w:val="00EA1048"/>
    <w:rsid w:val="00EA72EC"/>
    <w:rsid w:val="00EB0195"/>
    <w:rsid w:val="00EB11CB"/>
    <w:rsid w:val="00EB275A"/>
    <w:rsid w:val="00EB6ED4"/>
    <w:rsid w:val="00EB786A"/>
    <w:rsid w:val="00EC1578"/>
    <w:rsid w:val="00EC1C72"/>
    <w:rsid w:val="00EC2307"/>
    <w:rsid w:val="00EC3CC9"/>
    <w:rsid w:val="00EC4E51"/>
    <w:rsid w:val="00EC680A"/>
    <w:rsid w:val="00ED09CA"/>
    <w:rsid w:val="00ED6089"/>
    <w:rsid w:val="00ED67C7"/>
    <w:rsid w:val="00EE1C42"/>
    <w:rsid w:val="00EE1F7B"/>
    <w:rsid w:val="00EE2BED"/>
    <w:rsid w:val="00EE374B"/>
    <w:rsid w:val="00EE5722"/>
    <w:rsid w:val="00EE73B7"/>
    <w:rsid w:val="00EF33D8"/>
    <w:rsid w:val="00EF3497"/>
    <w:rsid w:val="00EF513D"/>
    <w:rsid w:val="00EF513E"/>
    <w:rsid w:val="00EF5D89"/>
    <w:rsid w:val="00F03EFB"/>
    <w:rsid w:val="00F0405E"/>
    <w:rsid w:val="00F04DEA"/>
    <w:rsid w:val="00F11BB5"/>
    <w:rsid w:val="00F1417B"/>
    <w:rsid w:val="00F1546E"/>
    <w:rsid w:val="00F22692"/>
    <w:rsid w:val="00F24FF2"/>
    <w:rsid w:val="00F31BA0"/>
    <w:rsid w:val="00F34B99"/>
    <w:rsid w:val="00F40FDE"/>
    <w:rsid w:val="00F465A1"/>
    <w:rsid w:val="00F52DAB"/>
    <w:rsid w:val="00F541E9"/>
    <w:rsid w:val="00F543F0"/>
    <w:rsid w:val="00F63F90"/>
    <w:rsid w:val="00F648D9"/>
    <w:rsid w:val="00F66C85"/>
    <w:rsid w:val="00F72B15"/>
    <w:rsid w:val="00F75FD3"/>
    <w:rsid w:val="00F771F4"/>
    <w:rsid w:val="00F81D29"/>
    <w:rsid w:val="00F83AA6"/>
    <w:rsid w:val="00F846D8"/>
    <w:rsid w:val="00F867CE"/>
    <w:rsid w:val="00F91655"/>
    <w:rsid w:val="00F91C4D"/>
    <w:rsid w:val="00F92FD9"/>
    <w:rsid w:val="00F937DA"/>
    <w:rsid w:val="00F951ED"/>
    <w:rsid w:val="00FA6684"/>
    <w:rsid w:val="00FA731E"/>
    <w:rsid w:val="00FB01E7"/>
    <w:rsid w:val="00FB03E6"/>
    <w:rsid w:val="00FB2178"/>
    <w:rsid w:val="00FB2748"/>
    <w:rsid w:val="00FB2B38"/>
    <w:rsid w:val="00FB55CF"/>
    <w:rsid w:val="00FB5976"/>
    <w:rsid w:val="00FC14E1"/>
    <w:rsid w:val="00FC6358"/>
    <w:rsid w:val="00FD1074"/>
    <w:rsid w:val="00FD242F"/>
    <w:rsid w:val="00FD28FB"/>
    <w:rsid w:val="00FD320D"/>
    <w:rsid w:val="00FD3E84"/>
    <w:rsid w:val="00FD7ADC"/>
    <w:rsid w:val="00FE0F75"/>
    <w:rsid w:val="00FE1023"/>
    <w:rsid w:val="00FE23DE"/>
    <w:rsid w:val="00FE48DD"/>
    <w:rsid w:val="00FE4F12"/>
    <w:rsid w:val="00FE6C87"/>
    <w:rsid w:val="00FE7624"/>
    <w:rsid w:val="00FF0EF6"/>
    <w:rsid w:val="00FF30E1"/>
    <w:rsid w:val="00FF4E19"/>
    <w:rsid w:val="044D3C5E"/>
    <w:rsid w:val="092B6D14"/>
    <w:rsid w:val="09527977"/>
    <w:rsid w:val="0E4956DC"/>
    <w:rsid w:val="13233082"/>
    <w:rsid w:val="138C473E"/>
    <w:rsid w:val="154E1A04"/>
    <w:rsid w:val="17D51824"/>
    <w:rsid w:val="1A68422D"/>
    <w:rsid w:val="1A987F4B"/>
    <w:rsid w:val="1AD4139B"/>
    <w:rsid w:val="1EF27F30"/>
    <w:rsid w:val="1F2963E0"/>
    <w:rsid w:val="22AC1F7F"/>
    <w:rsid w:val="23F6158E"/>
    <w:rsid w:val="27EC6CD9"/>
    <w:rsid w:val="2A23521A"/>
    <w:rsid w:val="2C4B267E"/>
    <w:rsid w:val="2E051D0E"/>
    <w:rsid w:val="2E4405A1"/>
    <w:rsid w:val="31242DEF"/>
    <w:rsid w:val="36B10648"/>
    <w:rsid w:val="3AD72F96"/>
    <w:rsid w:val="403930B9"/>
    <w:rsid w:val="42227D27"/>
    <w:rsid w:val="433F4D3E"/>
    <w:rsid w:val="434E359E"/>
    <w:rsid w:val="4A2B1E55"/>
    <w:rsid w:val="4F45079D"/>
    <w:rsid w:val="518512CB"/>
    <w:rsid w:val="53305518"/>
    <w:rsid w:val="568E16A2"/>
    <w:rsid w:val="57140E06"/>
    <w:rsid w:val="5D7B2022"/>
    <w:rsid w:val="5E250CED"/>
    <w:rsid w:val="5F736A83"/>
    <w:rsid w:val="62262C5F"/>
    <w:rsid w:val="655D14DD"/>
    <w:rsid w:val="68897A4C"/>
    <w:rsid w:val="68B04359"/>
    <w:rsid w:val="6CEE7196"/>
    <w:rsid w:val="6E86369E"/>
    <w:rsid w:val="6FAF4C18"/>
    <w:rsid w:val="6FB77B8F"/>
    <w:rsid w:val="6FD073C1"/>
    <w:rsid w:val="725978B6"/>
    <w:rsid w:val="7444775D"/>
    <w:rsid w:val="766259C8"/>
    <w:rsid w:val="7956473D"/>
    <w:rsid w:val="7A820375"/>
    <w:rsid w:val="7B232EDC"/>
    <w:rsid w:val="7B6F5F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name="toc 2"/>
    <w:lsdException w:qFormat="1" w:unhideWhenUsed="0" w:uiPriority="99" w:semiHidden="0" w:name="toc 3"/>
    <w:lsdException w:qFormat="1" w:unhideWhenUsed="0" w:uiPriority="99" w:name="toc 4"/>
    <w:lsdException w:qFormat="1" w:unhideWhenUsed="0" w:uiPriority="99" w:name="toc 5"/>
    <w:lsdException w:qFormat="1" w:unhideWhenUsed="0" w:uiPriority="0" w:name="toc 6"/>
    <w:lsdException w:qFormat="1" w:unhideWhenUsed="0" w:uiPriority="99" w:name="toc 7"/>
    <w:lsdException w:qFormat="1" w:unhideWhenUsed="0" w:uiPriority="99" w:name="toc 8"/>
    <w:lsdException w:qFormat="1" w:unhideWhenUsed="0" w:uiPriority="99" w:name="toc 9"/>
    <w:lsdException w:uiPriority="99"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qFormat="1" w:unhideWhenUsed="0" w:uiPriority="99"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3">
    <w:name w:val="Default Paragraph Font"/>
    <w:semiHidden/>
    <w:unhideWhenUsed/>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99"/>
    <w:pPr>
      <w:tabs>
        <w:tab w:val="right" w:leader="dot" w:pos="9241"/>
      </w:tabs>
      <w:ind w:firstLine="505" w:firstLineChars="500"/>
      <w:jc w:val="left"/>
    </w:pPr>
    <w:rPr>
      <w:rFonts w:ascii="宋体"/>
      <w:szCs w:val="21"/>
    </w:rPr>
  </w:style>
  <w:style w:type="paragraph" w:styleId="3">
    <w:name w:val="index 8"/>
    <w:basedOn w:val="1"/>
    <w:next w:val="1"/>
    <w:qFormat/>
    <w:uiPriority w:val="99"/>
    <w:pPr>
      <w:ind w:left="1680" w:hanging="210"/>
      <w:jc w:val="left"/>
    </w:pPr>
    <w:rPr>
      <w:rFonts w:ascii="Calibri" w:hAnsi="Calibri"/>
      <w:sz w:val="20"/>
      <w:szCs w:val="20"/>
    </w:rPr>
  </w:style>
  <w:style w:type="paragraph" w:styleId="4">
    <w:name w:val="caption"/>
    <w:basedOn w:val="1"/>
    <w:next w:val="1"/>
    <w:qFormat/>
    <w:uiPriority w:val="99"/>
    <w:pPr>
      <w:numPr>
        <w:ilvl w:val="0"/>
        <w:numId w:val="1"/>
      </w:numPr>
      <w:spacing w:before="152" w:after="160"/>
    </w:pPr>
    <w:rPr>
      <w:rFonts w:ascii="Arial" w:hAnsi="Arial" w:eastAsia="黑体" w:cs="Arial"/>
      <w:sz w:val="20"/>
      <w:szCs w:val="20"/>
    </w:rPr>
  </w:style>
  <w:style w:type="paragraph" w:styleId="5">
    <w:name w:val="index 5"/>
    <w:basedOn w:val="1"/>
    <w:next w:val="1"/>
    <w:qFormat/>
    <w:uiPriority w:val="99"/>
    <w:pPr>
      <w:ind w:left="1050" w:hanging="210"/>
      <w:jc w:val="left"/>
    </w:pPr>
    <w:rPr>
      <w:rFonts w:ascii="Calibri" w:hAnsi="Calibri"/>
      <w:sz w:val="20"/>
      <w:szCs w:val="20"/>
    </w:rPr>
  </w:style>
  <w:style w:type="paragraph" w:styleId="6">
    <w:name w:val="Document Map"/>
    <w:basedOn w:val="1"/>
    <w:link w:val="40"/>
    <w:semiHidden/>
    <w:qFormat/>
    <w:uiPriority w:val="99"/>
    <w:pPr>
      <w:numPr>
        <w:ilvl w:val="1"/>
        <w:numId w:val="1"/>
      </w:numPr>
      <w:shd w:val="clear" w:color="auto" w:fill="000080"/>
    </w:pPr>
    <w:rPr>
      <w:kern w:val="0"/>
      <w:sz w:val="2"/>
      <w:szCs w:val="20"/>
    </w:rPr>
  </w:style>
  <w:style w:type="paragraph" w:styleId="7">
    <w:name w:val="annotation text"/>
    <w:basedOn w:val="1"/>
    <w:link w:val="41"/>
    <w:qFormat/>
    <w:uiPriority w:val="99"/>
    <w:pPr>
      <w:adjustRightInd w:val="0"/>
      <w:spacing w:line="360" w:lineRule="atLeast"/>
      <w:jc w:val="left"/>
      <w:textAlignment w:val="baseline"/>
    </w:pPr>
    <w:rPr>
      <w:rFonts w:ascii="宋体"/>
      <w:kern w:val="0"/>
      <w:position w:val="-7"/>
      <w:sz w:val="24"/>
      <w:szCs w:val="20"/>
    </w:rPr>
  </w:style>
  <w:style w:type="paragraph" w:styleId="8">
    <w:name w:val="index 6"/>
    <w:basedOn w:val="1"/>
    <w:next w:val="1"/>
    <w:qFormat/>
    <w:uiPriority w:val="99"/>
    <w:pPr>
      <w:numPr>
        <w:ilvl w:val="2"/>
        <w:numId w:val="1"/>
      </w:numPr>
      <w:ind w:left="1701"/>
      <w:jc w:val="left"/>
    </w:pPr>
    <w:rPr>
      <w:rFonts w:ascii="Calibri" w:hAnsi="Calibri"/>
      <w:sz w:val="20"/>
      <w:szCs w:val="20"/>
    </w:rPr>
  </w:style>
  <w:style w:type="paragraph" w:styleId="9">
    <w:name w:val="index 4"/>
    <w:basedOn w:val="1"/>
    <w:next w:val="1"/>
    <w:qFormat/>
    <w:uiPriority w:val="99"/>
    <w:pPr>
      <w:ind w:left="840" w:hanging="210"/>
      <w:jc w:val="left"/>
    </w:pPr>
    <w:rPr>
      <w:rFonts w:ascii="Calibri" w:hAnsi="Calibri"/>
      <w:sz w:val="20"/>
      <w:szCs w:val="20"/>
    </w:rPr>
  </w:style>
  <w:style w:type="paragraph" w:styleId="10">
    <w:name w:val="toc 5"/>
    <w:basedOn w:val="1"/>
    <w:next w:val="1"/>
    <w:semiHidden/>
    <w:qFormat/>
    <w:uiPriority w:val="99"/>
    <w:pPr>
      <w:numPr>
        <w:ilvl w:val="3"/>
        <w:numId w:val="1"/>
      </w:numPr>
      <w:tabs>
        <w:tab w:val="right" w:leader="dot" w:pos="9241"/>
      </w:tabs>
      <w:jc w:val="left"/>
    </w:pPr>
    <w:rPr>
      <w:rFonts w:ascii="宋体"/>
      <w:szCs w:val="21"/>
    </w:rPr>
  </w:style>
  <w:style w:type="paragraph" w:styleId="11">
    <w:name w:val="toc 3"/>
    <w:basedOn w:val="1"/>
    <w:next w:val="1"/>
    <w:qFormat/>
    <w:uiPriority w:val="99"/>
    <w:pPr>
      <w:numPr>
        <w:ilvl w:val="4"/>
        <w:numId w:val="1"/>
      </w:numPr>
      <w:tabs>
        <w:tab w:val="right" w:leader="dot" w:pos="9241"/>
      </w:tabs>
      <w:jc w:val="left"/>
    </w:pPr>
    <w:rPr>
      <w:rFonts w:ascii="宋体"/>
      <w:szCs w:val="21"/>
    </w:rPr>
  </w:style>
  <w:style w:type="paragraph" w:styleId="12">
    <w:name w:val="toc 8"/>
    <w:basedOn w:val="1"/>
    <w:next w:val="1"/>
    <w:semiHidden/>
    <w:qFormat/>
    <w:uiPriority w:val="99"/>
    <w:pPr>
      <w:numPr>
        <w:ilvl w:val="5"/>
        <w:numId w:val="1"/>
      </w:numPr>
      <w:tabs>
        <w:tab w:val="right" w:leader="dot" w:pos="9241"/>
      </w:tabs>
      <w:jc w:val="left"/>
    </w:pPr>
    <w:rPr>
      <w:rFonts w:ascii="宋体"/>
      <w:szCs w:val="21"/>
    </w:rPr>
  </w:style>
  <w:style w:type="paragraph" w:styleId="13">
    <w:name w:val="index 3"/>
    <w:basedOn w:val="1"/>
    <w:next w:val="1"/>
    <w:qFormat/>
    <w:uiPriority w:val="99"/>
    <w:pPr>
      <w:ind w:left="630" w:hanging="210"/>
      <w:jc w:val="left"/>
    </w:pPr>
    <w:rPr>
      <w:rFonts w:ascii="Calibri" w:hAnsi="Calibri"/>
      <w:sz w:val="20"/>
      <w:szCs w:val="20"/>
    </w:rPr>
  </w:style>
  <w:style w:type="paragraph" w:styleId="14">
    <w:name w:val="Date"/>
    <w:basedOn w:val="1"/>
    <w:next w:val="1"/>
    <w:link w:val="42"/>
    <w:qFormat/>
    <w:locked/>
    <w:uiPriority w:val="99"/>
    <w:pPr>
      <w:ind w:left="100" w:leftChars="2500"/>
    </w:pPr>
    <w:rPr>
      <w:kern w:val="0"/>
      <w:sz w:val="20"/>
      <w:szCs w:val="20"/>
    </w:rPr>
  </w:style>
  <w:style w:type="paragraph" w:styleId="15">
    <w:name w:val="endnote text"/>
    <w:basedOn w:val="1"/>
    <w:link w:val="43"/>
    <w:semiHidden/>
    <w:qFormat/>
    <w:uiPriority w:val="99"/>
    <w:pPr>
      <w:snapToGrid w:val="0"/>
      <w:jc w:val="left"/>
    </w:pPr>
    <w:rPr>
      <w:kern w:val="0"/>
      <w:sz w:val="24"/>
      <w:szCs w:val="20"/>
    </w:rPr>
  </w:style>
  <w:style w:type="paragraph" w:styleId="16">
    <w:name w:val="Balloon Text"/>
    <w:basedOn w:val="1"/>
    <w:link w:val="44"/>
    <w:semiHidden/>
    <w:qFormat/>
    <w:uiPriority w:val="99"/>
    <w:rPr>
      <w:kern w:val="0"/>
      <w:sz w:val="2"/>
      <w:szCs w:val="20"/>
    </w:rPr>
  </w:style>
  <w:style w:type="paragraph" w:styleId="17">
    <w:name w:val="footer"/>
    <w:basedOn w:val="1"/>
    <w:link w:val="45"/>
    <w:qFormat/>
    <w:uiPriority w:val="99"/>
    <w:pPr>
      <w:snapToGrid w:val="0"/>
      <w:ind w:right="210" w:rightChars="100"/>
      <w:jc w:val="right"/>
    </w:pPr>
    <w:rPr>
      <w:kern w:val="0"/>
      <w:sz w:val="18"/>
      <w:szCs w:val="20"/>
    </w:rPr>
  </w:style>
  <w:style w:type="paragraph" w:styleId="18">
    <w:name w:val="header"/>
    <w:basedOn w:val="1"/>
    <w:link w:val="46"/>
    <w:qFormat/>
    <w:uiPriority w:val="99"/>
    <w:pPr>
      <w:snapToGrid w:val="0"/>
      <w:jc w:val="left"/>
    </w:pPr>
    <w:rPr>
      <w:kern w:val="0"/>
      <w:sz w:val="18"/>
      <w:szCs w:val="20"/>
    </w:rPr>
  </w:style>
  <w:style w:type="paragraph" w:styleId="19">
    <w:name w:val="toc 1"/>
    <w:basedOn w:val="1"/>
    <w:next w:val="1"/>
    <w:qFormat/>
    <w:uiPriority w:val="99"/>
    <w:pPr>
      <w:tabs>
        <w:tab w:val="right" w:leader="dot" w:pos="9241"/>
      </w:tabs>
      <w:spacing w:beforeLines="25" w:afterLines="25"/>
      <w:jc w:val="left"/>
    </w:pPr>
    <w:rPr>
      <w:rFonts w:ascii="宋体"/>
      <w:szCs w:val="21"/>
    </w:rPr>
  </w:style>
  <w:style w:type="paragraph" w:styleId="20">
    <w:name w:val="toc 4"/>
    <w:basedOn w:val="1"/>
    <w:next w:val="1"/>
    <w:semiHidden/>
    <w:qFormat/>
    <w:uiPriority w:val="99"/>
    <w:pPr>
      <w:tabs>
        <w:tab w:val="right" w:leader="dot" w:pos="9241"/>
      </w:tabs>
      <w:ind w:firstLine="198" w:firstLineChars="200"/>
      <w:jc w:val="left"/>
    </w:pPr>
    <w:rPr>
      <w:rFonts w:ascii="宋体"/>
      <w:szCs w:val="21"/>
    </w:rPr>
  </w:style>
  <w:style w:type="paragraph" w:styleId="21">
    <w:name w:val="index heading"/>
    <w:basedOn w:val="1"/>
    <w:next w:val="22"/>
    <w:qFormat/>
    <w:uiPriority w:val="99"/>
    <w:pPr>
      <w:spacing w:before="120" w:after="120"/>
      <w:jc w:val="center"/>
    </w:pPr>
    <w:rPr>
      <w:rFonts w:ascii="Calibri" w:hAnsi="Calibri"/>
      <w:b/>
      <w:bCs/>
      <w:iCs/>
      <w:szCs w:val="20"/>
    </w:rPr>
  </w:style>
  <w:style w:type="paragraph" w:styleId="22">
    <w:name w:val="index 1"/>
    <w:basedOn w:val="1"/>
    <w:next w:val="23"/>
    <w:qFormat/>
    <w:uiPriority w:val="99"/>
    <w:pPr>
      <w:tabs>
        <w:tab w:val="right" w:leader="dot" w:pos="9299"/>
      </w:tabs>
      <w:jc w:val="left"/>
    </w:pPr>
    <w:rPr>
      <w:rFonts w:ascii="宋体"/>
      <w:szCs w:val="21"/>
    </w:rPr>
  </w:style>
  <w:style w:type="paragraph" w:customStyle="1" w:styleId="23">
    <w:name w:val="段"/>
    <w:link w:val="47"/>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2"/>
      <w:lang w:val="en-US" w:eastAsia="zh-CN" w:bidi="ar-SA"/>
    </w:rPr>
  </w:style>
  <w:style w:type="paragraph" w:styleId="24">
    <w:name w:val="footnote text"/>
    <w:basedOn w:val="1"/>
    <w:link w:val="48"/>
    <w:qFormat/>
    <w:uiPriority w:val="99"/>
    <w:pPr>
      <w:numPr>
        <w:ilvl w:val="0"/>
        <w:numId w:val="2"/>
      </w:numPr>
      <w:snapToGrid w:val="0"/>
      <w:jc w:val="left"/>
    </w:pPr>
    <w:rPr>
      <w:kern w:val="0"/>
      <w:sz w:val="18"/>
      <w:szCs w:val="20"/>
    </w:rPr>
  </w:style>
  <w:style w:type="paragraph" w:styleId="25">
    <w:name w:val="toc 6"/>
    <w:basedOn w:val="1"/>
    <w:next w:val="1"/>
    <w:semiHidden/>
    <w:qFormat/>
    <w:uiPriority w:val="0"/>
    <w:pPr>
      <w:tabs>
        <w:tab w:val="right" w:leader="dot" w:pos="9241"/>
      </w:tabs>
      <w:ind w:firstLine="403" w:firstLineChars="400"/>
      <w:jc w:val="left"/>
    </w:pPr>
    <w:rPr>
      <w:rFonts w:ascii="宋体"/>
      <w:szCs w:val="21"/>
    </w:rPr>
  </w:style>
  <w:style w:type="paragraph" w:styleId="26">
    <w:name w:val="index 7"/>
    <w:basedOn w:val="1"/>
    <w:next w:val="1"/>
    <w:qFormat/>
    <w:uiPriority w:val="99"/>
    <w:pPr>
      <w:ind w:left="1470" w:hanging="210"/>
      <w:jc w:val="left"/>
    </w:pPr>
    <w:rPr>
      <w:rFonts w:ascii="Calibri" w:hAnsi="Calibri"/>
      <w:sz w:val="20"/>
      <w:szCs w:val="20"/>
    </w:rPr>
  </w:style>
  <w:style w:type="paragraph" w:styleId="27">
    <w:name w:val="index 9"/>
    <w:basedOn w:val="1"/>
    <w:next w:val="1"/>
    <w:qFormat/>
    <w:uiPriority w:val="99"/>
    <w:pPr>
      <w:ind w:left="1890" w:hanging="210"/>
      <w:jc w:val="left"/>
    </w:pPr>
    <w:rPr>
      <w:rFonts w:ascii="Calibri" w:hAnsi="Calibri"/>
      <w:sz w:val="20"/>
      <w:szCs w:val="20"/>
    </w:rPr>
  </w:style>
  <w:style w:type="paragraph" w:styleId="28">
    <w:name w:val="toc 2"/>
    <w:basedOn w:val="1"/>
    <w:next w:val="1"/>
    <w:semiHidden/>
    <w:qFormat/>
    <w:uiPriority w:val="99"/>
    <w:pPr>
      <w:tabs>
        <w:tab w:val="right" w:leader="dot" w:pos="9241"/>
      </w:tabs>
    </w:pPr>
    <w:rPr>
      <w:rFonts w:ascii="宋体"/>
      <w:szCs w:val="21"/>
    </w:rPr>
  </w:style>
  <w:style w:type="paragraph" w:styleId="29">
    <w:name w:val="toc 9"/>
    <w:basedOn w:val="1"/>
    <w:next w:val="1"/>
    <w:semiHidden/>
    <w:qFormat/>
    <w:uiPriority w:val="99"/>
    <w:pPr>
      <w:ind w:left="1470"/>
      <w:jc w:val="left"/>
    </w:pPr>
    <w:rPr>
      <w:sz w:val="20"/>
      <w:szCs w:val="20"/>
    </w:rPr>
  </w:style>
  <w:style w:type="paragraph" w:styleId="30">
    <w:name w:val="index 2"/>
    <w:basedOn w:val="1"/>
    <w:next w:val="1"/>
    <w:qFormat/>
    <w:uiPriority w:val="99"/>
    <w:pPr>
      <w:ind w:left="420" w:hanging="210"/>
      <w:jc w:val="left"/>
    </w:pPr>
    <w:rPr>
      <w:rFonts w:ascii="Calibri" w:hAnsi="Calibri"/>
      <w:sz w:val="20"/>
      <w:szCs w:val="20"/>
    </w:rPr>
  </w:style>
  <w:style w:type="table" w:styleId="32">
    <w:name w:val="Table Grid"/>
    <w:basedOn w:val="31"/>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endnote reference"/>
    <w:semiHidden/>
    <w:qFormat/>
    <w:uiPriority w:val="99"/>
    <w:rPr>
      <w:rFonts w:cs="Times New Roman"/>
      <w:vertAlign w:val="superscript"/>
    </w:rPr>
  </w:style>
  <w:style w:type="character" w:styleId="35">
    <w:name w:val="page number"/>
    <w:qFormat/>
    <w:uiPriority w:val="99"/>
    <w:rPr>
      <w:rFonts w:ascii="Times New Roman" w:hAnsi="Times New Roman" w:eastAsia="宋体" w:cs="Times New Roman"/>
      <w:sz w:val="18"/>
    </w:rPr>
  </w:style>
  <w:style w:type="character" w:styleId="36">
    <w:name w:val="FollowedHyperlink"/>
    <w:qFormat/>
    <w:uiPriority w:val="99"/>
    <w:rPr>
      <w:rFonts w:cs="Times New Roman"/>
      <w:color w:val="800080"/>
      <w:u w:val="single"/>
    </w:rPr>
  </w:style>
  <w:style w:type="character" w:styleId="37">
    <w:name w:val="Hyperlink"/>
    <w:qFormat/>
    <w:uiPriority w:val="99"/>
    <w:rPr>
      <w:rFonts w:cs="Times New Roman"/>
      <w:color w:val="0000FF"/>
      <w:spacing w:val="0"/>
      <w:w w:val="100"/>
      <w:sz w:val="21"/>
      <w:u w:val="single"/>
    </w:rPr>
  </w:style>
  <w:style w:type="character" w:styleId="38">
    <w:name w:val="HTML Code"/>
    <w:qFormat/>
    <w:uiPriority w:val="99"/>
    <w:rPr>
      <w:rFonts w:ascii="Courier New" w:hAnsi="Courier New" w:cs="Times New Roman"/>
      <w:sz w:val="20"/>
    </w:rPr>
  </w:style>
  <w:style w:type="character" w:styleId="39">
    <w:name w:val="footnote reference"/>
    <w:semiHidden/>
    <w:qFormat/>
    <w:uiPriority w:val="99"/>
    <w:rPr>
      <w:rFonts w:cs="Times New Roman"/>
      <w:vertAlign w:val="superscript"/>
    </w:rPr>
  </w:style>
  <w:style w:type="character" w:customStyle="1" w:styleId="40">
    <w:name w:val="文档结构图 Char"/>
    <w:link w:val="6"/>
    <w:semiHidden/>
    <w:qFormat/>
    <w:locked/>
    <w:uiPriority w:val="99"/>
    <w:rPr>
      <w:sz w:val="2"/>
      <w:shd w:val="clear" w:color="auto" w:fill="000080"/>
    </w:rPr>
  </w:style>
  <w:style w:type="character" w:customStyle="1" w:styleId="41">
    <w:name w:val="批注文字 Char"/>
    <w:link w:val="7"/>
    <w:qFormat/>
    <w:locked/>
    <w:uiPriority w:val="99"/>
    <w:rPr>
      <w:rFonts w:ascii="宋体"/>
      <w:position w:val="-7"/>
      <w:sz w:val="24"/>
    </w:rPr>
  </w:style>
  <w:style w:type="character" w:customStyle="1" w:styleId="42">
    <w:name w:val="日期 Char"/>
    <w:link w:val="14"/>
    <w:qFormat/>
    <w:locked/>
    <w:uiPriority w:val="99"/>
    <w:rPr>
      <w:sz w:val="20"/>
    </w:rPr>
  </w:style>
  <w:style w:type="character" w:customStyle="1" w:styleId="43">
    <w:name w:val="尾注文本 Char"/>
    <w:link w:val="15"/>
    <w:semiHidden/>
    <w:qFormat/>
    <w:locked/>
    <w:uiPriority w:val="99"/>
    <w:rPr>
      <w:sz w:val="24"/>
    </w:rPr>
  </w:style>
  <w:style w:type="character" w:customStyle="1" w:styleId="44">
    <w:name w:val="批注框文本 Char"/>
    <w:link w:val="16"/>
    <w:semiHidden/>
    <w:qFormat/>
    <w:locked/>
    <w:uiPriority w:val="99"/>
    <w:rPr>
      <w:sz w:val="2"/>
    </w:rPr>
  </w:style>
  <w:style w:type="character" w:customStyle="1" w:styleId="45">
    <w:name w:val="页脚 Char"/>
    <w:link w:val="17"/>
    <w:semiHidden/>
    <w:qFormat/>
    <w:locked/>
    <w:uiPriority w:val="99"/>
    <w:rPr>
      <w:sz w:val="18"/>
    </w:rPr>
  </w:style>
  <w:style w:type="character" w:customStyle="1" w:styleId="46">
    <w:name w:val="页眉 Char"/>
    <w:link w:val="18"/>
    <w:semiHidden/>
    <w:qFormat/>
    <w:locked/>
    <w:uiPriority w:val="99"/>
    <w:rPr>
      <w:sz w:val="18"/>
    </w:rPr>
  </w:style>
  <w:style w:type="character" w:customStyle="1" w:styleId="47">
    <w:name w:val="段 Char"/>
    <w:link w:val="23"/>
    <w:qFormat/>
    <w:locked/>
    <w:uiPriority w:val="99"/>
    <w:rPr>
      <w:rFonts w:ascii="宋体"/>
      <w:sz w:val="22"/>
      <w:lang w:val="en-US" w:eastAsia="zh-CN"/>
    </w:rPr>
  </w:style>
  <w:style w:type="character" w:customStyle="1" w:styleId="48">
    <w:name w:val="脚注文本 Char"/>
    <w:link w:val="24"/>
    <w:qFormat/>
    <w:locked/>
    <w:uiPriority w:val="99"/>
    <w:rPr>
      <w:sz w:val="18"/>
    </w:rPr>
  </w:style>
  <w:style w:type="paragraph" w:customStyle="1" w:styleId="49">
    <w:name w:val="一级条标题"/>
    <w:next w:val="23"/>
    <w:link w:val="50"/>
    <w:qFormat/>
    <w:uiPriority w:val="0"/>
    <w:pPr>
      <w:numPr>
        <w:ilvl w:val="1"/>
        <w:numId w:val="3"/>
      </w:numPr>
      <w:spacing w:beforeLines="50" w:afterLines="50"/>
      <w:outlineLvl w:val="2"/>
    </w:pPr>
    <w:rPr>
      <w:rFonts w:ascii="黑体" w:hAnsi="Times New Roman" w:eastAsia="黑体" w:cs="Times New Roman"/>
      <w:sz w:val="22"/>
      <w:lang w:val="en-US" w:eastAsia="zh-CN" w:bidi="ar-SA"/>
    </w:rPr>
  </w:style>
  <w:style w:type="character" w:customStyle="1" w:styleId="50">
    <w:name w:val="一级条标题 Char"/>
    <w:link w:val="49"/>
    <w:qFormat/>
    <w:locked/>
    <w:uiPriority w:val="0"/>
    <w:rPr>
      <w:rFonts w:ascii="黑体" w:eastAsia="黑体"/>
      <w:sz w:val="22"/>
    </w:rPr>
  </w:style>
  <w:style w:type="paragraph" w:customStyle="1" w:styleId="51">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52">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3">
    <w:name w:val="章标题"/>
    <w:next w:val="23"/>
    <w:qFormat/>
    <w:uiPriority w:val="0"/>
    <w:pPr>
      <w:numPr>
        <w:ilvl w:val="0"/>
        <w:numId w:val="3"/>
      </w:numPr>
      <w:spacing w:beforeLines="100" w:afterLines="100"/>
      <w:jc w:val="both"/>
      <w:outlineLvl w:val="1"/>
    </w:pPr>
    <w:rPr>
      <w:rFonts w:ascii="黑体" w:hAnsi="Times New Roman" w:eastAsia="黑体" w:cs="Times New Roman"/>
      <w:sz w:val="21"/>
      <w:lang w:val="en-US" w:eastAsia="zh-CN" w:bidi="ar-SA"/>
    </w:rPr>
  </w:style>
  <w:style w:type="paragraph" w:customStyle="1" w:styleId="54">
    <w:name w:val="二级条标题"/>
    <w:basedOn w:val="49"/>
    <w:next w:val="23"/>
    <w:link w:val="151"/>
    <w:qFormat/>
    <w:uiPriority w:val="0"/>
    <w:pPr>
      <w:numPr>
        <w:ilvl w:val="2"/>
      </w:numPr>
      <w:spacing w:before="50" w:after="50"/>
      <w:outlineLvl w:val="3"/>
    </w:pPr>
  </w:style>
  <w:style w:type="paragraph" w:customStyle="1" w:styleId="55">
    <w:name w:val="封面标准号2"/>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6">
    <w:name w:val="列项——（一级）"/>
    <w:qFormat/>
    <w:uiPriority w:val="99"/>
    <w:pPr>
      <w:widowControl w:val="0"/>
      <w:numPr>
        <w:ilvl w:val="0"/>
        <w:numId w:val="4"/>
      </w:numPr>
      <w:jc w:val="both"/>
    </w:pPr>
    <w:rPr>
      <w:rFonts w:ascii="宋体" w:hAnsi="Times New Roman" w:eastAsia="宋体" w:cs="Times New Roman"/>
      <w:sz w:val="21"/>
      <w:lang w:val="en-US" w:eastAsia="zh-CN" w:bidi="ar-SA"/>
    </w:rPr>
  </w:style>
  <w:style w:type="paragraph" w:customStyle="1" w:styleId="57">
    <w:name w:val="列项●（二级）"/>
    <w:qFormat/>
    <w:uiPriority w:val="99"/>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58">
    <w:name w:val="目次、标准名称标题"/>
    <w:basedOn w:val="1"/>
    <w:next w:val="23"/>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9">
    <w:name w:val="三级条标题"/>
    <w:basedOn w:val="54"/>
    <w:next w:val="23"/>
    <w:qFormat/>
    <w:uiPriority w:val="0"/>
    <w:pPr>
      <w:numPr>
        <w:ilvl w:val="3"/>
      </w:numPr>
      <w:outlineLvl w:val="4"/>
    </w:pPr>
  </w:style>
  <w:style w:type="paragraph" w:customStyle="1" w:styleId="60">
    <w:name w:val="示例"/>
    <w:next w:val="61"/>
    <w:qFormat/>
    <w:uiPriority w:val="99"/>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61">
    <w:name w:val="示例内容"/>
    <w:qFormat/>
    <w:uiPriority w:val="99"/>
    <w:pPr>
      <w:ind w:firstLine="200" w:firstLineChars="200"/>
    </w:pPr>
    <w:rPr>
      <w:rFonts w:ascii="宋体" w:hAnsi="Times New Roman" w:eastAsia="宋体" w:cs="Times New Roman"/>
      <w:sz w:val="18"/>
      <w:szCs w:val="18"/>
      <w:lang w:val="en-US" w:eastAsia="zh-CN" w:bidi="ar-SA"/>
    </w:rPr>
  </w:style>
  <w:style w:type="paragraph" w:customStyle="1" w:styleId="62">
    <w:name w:val="数字编号列项（二级）"/>
    <w:qFormat/>
    <w:uiPriority w:val="99"/>
    <w:pPr>
      <w:numPr>
        <w:ilvl w:val="1"/>
        <w:numId w:val="6"/>
      </w:numPr>
      <w:jc w:val="both"/>
    </w:pPr>
    <w:rPr>
      <w:rFonts w:ascii="宋体" w:hAnsi="Times New Roman" w:eastAsia="宋体" w:cs="Times New Roman"/>
      <w:sz w:val="21"/>
      <w:lang w:val="en-US" w:eastAsia="zh-CN" w:bidi="ar-SA"/>
    </w:rPr>
  </w:style>
  <w:style w:type="paragraph" w:customStyle="1" w:styleId="63">
    <w:name w:val="四级条标题"/>
    <w:basedOn w:val="59"/>
    <w:next w:val="23"/>
    <w:qFormat/>
    <w:uiPriority w:val="0"/>
    <w:pPr>
      <w:numPr>
        <w:ilvl w:val="4"/>
      </w:numPr>
      <w:outlineLvl w:val="5"/>
    </w:pPr>
  </w:style>
  <w:style w:type="paragraph" w:customStyle="1" w:styleId="64">
    <w:name w:val="五级条标题"/>
    <w:basedOn w:val="63"/>
    <w:next w:val="23"/>
    <w:qFormat/>
    <w:uiPriority w:val="0"/>
    <w:pPr>
      <w:numPr>
        <w:ilvl w:val="5"/>
      </w:numPr>
      <w:ind w:left="0"/>
      <w:outlineLvl w:val="6"/>
    </w:pPr>
  </w:style>
  <w:style w:type="paragraph" w:customStyle="1" w:styleId="65">
    <w:name w:val="注："/>
    <w:next w:val="23"/>
    <w:qFormat/>
    <w:uiPriority w:val="99"/>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6">
    <w:name w:val="注×："/>
    <w:qFormat/>
    <w:uiPriority w:val="99"/>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67">
    <w:name w:val="字母编号列项（一级）"/>
    <w:qFormat/>
    <w:uiPriority w:val="99"/>
    <w:pPr>
      <w:numPr>
        <w:ilvl w:val="0"/>
        <w:numId w:val="6"/>
      </w:numPr>
      <w:jc w:val="both"/>
    </w:pPr>
    <w:rPr>
      <w:rFonts w:ascii="宋体" w:hAnsi="Times New Roman" w:eastAsia="宋体" w:cs="Times New Roman"/>
      <w:sz w:val="21"/>
      <w:lang w:val="en-US" w:eastAsia="zh-CN" w:bidi="ar-SA"/>
    </w:rPr>
  </w:style>
  <w:style w:type="paragraph" w:customStyle="1" w:styleId="68">
    <w:name w:val="列项◆（三级）"/>
    <w:basedOn w:val="1"/>
    <w:qFormat/>
    <w:uiPriority w:val="99"/>
    <w:pPr>
      <w:numPr>
        <w:ilvl w:val="2"/>
        <w:numId w:val="4"/>
      </w:numPr>
    </w:pPr>
    <w:rPr>
      <w:rFonts w:ascii="宋体"/>
      <w:szCs w:val="21"/>
    </w:rPr>
  </w:style>
  <w:style w:type="paragraph" w:customStyle="1" w:styleId="69">
    <w:name w:val="编号列项（三级）"/>
    <w:qFormat/>
    <w:uiPriority w:val="99"/>
    <w:pPr>
      <w:numPr>
        <w:ilvl w:val="2"/>
        <w:numId w:val="6"/>
      </w:numPr>
    </w:pPr>
    <w:rPr>
      <w:rFonts w:ascii="宋体" w:hAnsi="Times New Roman" w:eastAsia="宋体" w:cs="Times New Roman"/>
      <w:sz w:val="21"/>
      <w:lang w:val="en-US" w:eastAsia="zh-CN" w:bidi="ar-SA"/>
    </w:rPr>
  </w:style>
  <w:style w:type="paragraph" w:customStyle="1" w:styleId="70">
    <w:name w:val="示例×："/>
    <w:basedOn w:val="53"/>
    <w:qFormat/>
    <w:uiPriority w:val="99"/>
    <w:pPr>
      <w:numPr>
        <w:numId w:val="9"/>
      </w:numPr>
      <w:spacing w:beforeLines="0" w:afterLines="0"/>
      <w:outlineLvl w:val="9"/>
    </w:pPr>
    <w:rPr>
      <w:rFonts w:ascii="宋体" w:eastAsia="宋体"/>
      <w:sz w:val="18"/>
      <w:szCs w:val="18"/>
    </w:rPr>
  </w:style>
  <w:style w:type="paragraph" w:customStyle="1" w:styleId="71">
    <w:name w:val="二级无"/>
    <w:basedOn w:val="54"/>
    <w:qFormat/>
    <w:uiPriority w:val="99"/>
    <w:pPr>
      <w:spacing w:beforeLines="0" w:afterLines="0"/>
    </w:pPr>
    <w:rPr>
      <w:rFonts w:ascii="宋体" w:eastAsia="宋体"/>
    </w:rPr>
  </w:style>
  <w:style w:type="paragraph" w:customStyle="1" w:styleId="72">
    <w:name w:val="注：（正文）"/>
    <w:basedOn w:val="65"/>
    <w:next w:val="23"/>
    <w:qFormat/>
    <w:uiPriority w:val="99"/>
  </w:style>
  <w:style w:type="paragraph" w:customStyle="1" w:styleId="73">
    <w:name w:val="注×：（正文）"/>
    <w:qFormat/>
    <w:uiPriority w:val="99"/>
    <w:pPr>
      <w:numPr>
        <w:ilvl w:val="0"/>
        <w:numId w:val="10"/>
      </w:numPr>
      <w:jc w:val="both"/>
    </w:pPr>
    <w:rPr>
      <w:rFonts w:ascii="宋体" w:hAnsi="Times New Roman" w:eastAsia="宋体" w:cs="Times New Roman"/>
      <w:sz w:val="18"/>
      <w:szCs w:val="18"/>
      <w:lang w:val="en-US" w:eastAsia="zh-CN" w:bidi="ar-SA"/>
    </w:rPr>
  </w:style>
  <w:style w:type="paragraph" w:customStyle="1" w:styleId="74">
    <w:name w:val="标准标志"/>
    <w:next w:val="1"/>
    <w:qFormat/>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宋体" w:cs="Times New Roman"/>
      <w:b/>
      <w:w w:val="170"/>
      <w:sz w:val="96"/>
      <w:szCs w:val="96"/>
      <w:lang w:val="en-US" w:eastAsia="zh-CN" w:bidi="ar-SA"/>
    </w:rPr>
  </w:style>
  <w:style w:type="paragraph" w:customStyle="1" w:styleId="75">
    <w:name w:val="标准称谓"/>
    <w:next w:val="1"/>
    <w:qFormat/>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76">
    <w:name w:val="标准书脚_偶数页"/>
    <w:qFormat/>
    <w:uiPriority w:val="99"/>
    <w:pPr>
      <w:spacing w:before="120"/>
      <w:ind w:left="221"/>
    </w:pPr>
    <w:rPr>
      <w:rFonts w:ascii="宋体" w:hAnsi="Times New Roman" w:eastAsia="宋体" w:cs="Times New Roman"/>
      <w:sz w:val="18"/>
      <w:szCs w:val="18"/>
      <w:lang w:val="en-US" w:eastAsia="zh-CN" w:bidi="ar-SA"/>
    </w:rPr>
  </w:style>
  <w:style w:type="paragraph" w:customStyle="1" w:styleId="77">
    <w:name w:val="标准书眉_偶数页"/>
    <w:basedOn w:val="52"/>
    <w:next w:val="1"/>
    <w:qFormat/>
    <w:uiPriority w:val="99"/>
    <w:pPr>
      <w:jc w:val="left"/>
    </w:pPr>
  </w:style>
  <w:style w:type="paragraph" w:customStyle="1" w:styleId="78">
    <w:name w:val="标准书眉一"/>
    <w:qFormat/>
    <w:uiPriority w:val="99"/>
    <w:pPr>
      <w:jc w:val="both"/>
    </w:pPr>
    <w:rPr>
      <w:rFonts w:ascii="Times New Roman" w:hAnsi="Times New Roman" w:eastAsia="宋体" w:cs="Times New Roman"/>
      <w:lang w:val="en-US" w:eastAsia="zh-CN" w:bidi="ar-SA"/>
    </w:rPr>
  </w:style>
  <w:style w:type="paragraph" w:customStyle="1" w:styleId="79">
    <w:name w:val="参考文献"/>
    <w:basedOn w:val="1"/>
    <w:next w:val="23"/>
    <w:qFormat/>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80">
    <w:name w:val="参考文献、索引标题"/>
    <w:basedOn w:val="1"/>
    <w:next w:val="23"/>
    <w:qFormat/>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81">
    <w:name w:val="发布"/>
    <w:qFormat/>
    <w:uiPriority w:val="99"/>
    <w:rPr>
      <w:rFonts w:ascii="黑体" w:eastAsia="黑体"/>
      <w:spacing w:val="85"/>
      <w:w w:val="100"/>
      <w:position w:val="3"/>
      <w:sz w:val="28"/>
    </w:rPr>
  </w:style>
  <w:style w:type="paragraph" w:customStyle="1" w:styleId="82">
    <w:name w:val="发布部门"/>
    <w:next w:val="23"/>
    <w:qFormat/>
    <w:uiPriority w:val="99"/>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3">
    <w:name w:val="发布日期"/>
    <w:qFormat/>
    <w:uiPriority w:val="99"/>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4">
    <w:name w:val="封面标准代替信息"/>
    <w:qFormat/>
    <w:uiPriority w:val="99"/>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5">
    <w:name w:val="封面标准号1"/>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6">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7">
    <w:name w:val="封面标准英文名称"/>
    <w:basedOn w:val="86"/>
    <w:qFormat/>
    <w:uiPriority w:val="99"/>
    <w:pPr>
      <w:framePr w:wrap="around"/>
      <w:spacing w:before="370" w:line="400" w:lineRule="exact"/>
    </w:pPr>
    <w:rPr>
      <w:rFonts w:ascii="Times New Roman"/>
      <w:sz w:val="28"/>
      <w:szCs w:val="28"/>
    </w:rPr>
  </w:style>
  <w:style w:type="paragraph" w:customStyle="1" w:styleId="88">
    <w:name w:val="封面一致性程度标识"/>
    <w:basedOn w:val="87"/>
    <w:qFormat/>
    <w:uiPriority w:val="99"/>
    <w:pPr>
      <w:framePr w:wrap="around"/>
      <w:spacing w:before="440"/>
    </w:pPr>
    <w:rPr>
      <w:rFonts w:ascii="宋体" w:eastAsia="宋体"/>
    </w:rPr>
  </w:style>
  <w:style w:type="paragraph" w:customStyle="1" w:styleId="89">
    <w:name w:val="封面标准文稿类别"/>
    <w:basedOn w:val="88"/>
    <w:qFormat/>
    <w:uiPriority w:val="99"/>
    <w:pPr>
      <w:framePr w:wrap="around"/>
      <w:spacing w:after="160" w:line="240" w:lineRule="auto"/>
    </w:pPr>
    <w:rPr>
      <w:sz w:val="24"/>
    </w:rPr>
  </w:style>
  <w:style w:type="paragraph" w:customStyle="1" w:styleId="90">
    <w:name w:val="封面标准文稿编辑信息"/>
    <w:basedOn w:val="89"/>
    <w:qFormat/>
    <w:uiPriority w:val="99"/>
    <w:pPr>
      <w:framePr w:wrap="around"/>
      <w:spacing w:before="180" w:line="180" w:lineRule="exact"/>
    </w:pPr>
    <w:rPr>
      <w:sz w:val="21"/>
    </w:rPr>
  </w:style>
  <w:style w:type="paragraph" w:customStyle="1" w:styleId="91">
    <w:name w:val="封面正文"/>
    <w:qFormat/>
    <w:uiPriority w:val="99"/>
    <w:pPr>
      <w:jc w:val="both"/>
    </w:pPr>
    <w:rPr>
      <w:rFonts w:ascii="Times New Roman" w:hAnsi="Times New Roman" w:eastAsia="宋体" w:cs="Times New Roman"/>
      <w:lang w:val="en-US" w:eastAsia="zh-CN" w:bidi="ar-SA"/>
    </w:rPr>
  </w:style>
  <w:style w:type="paragraph" w:customStyle="1" w:styleId="92">
    <w:name w:val="附录标识"/>
    <w:basedOn w:val="1"/>
    <w:next w:val="23"/>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3">
    <w:name w:val="附录标题"/>
    <w:basedOn w:val="23"/>
    <w:next w:val="23"/>
    <w:qFormat/>
    <w:uiPriority w:val="99"/>
    <w:pPr>
      <w:ind w:firstLine="0" w:firstLineChars="0"/>
      <w:jc w:val="center"/>
    </w:pPr>
    <w:rPr>
      <w:rFonts w:ascii="黑体" w:eastAsia="黑体"/>
    </w:rPr>
  </w:style>
  <w:style w:type="paragraph" w:customStyle="1" w:styleId="94">
    <w:name w:val="附录表标号"/>
    <w:basedOn w:val="1"/>
    <w:next w:val="23"/>
    <w:qFormat/>
    <w:uiPriority w:val="0"/>
    <w:pPr>
      <w:numPr>
        <w:ilvl w:val="0"/>
        <w:numId w:val="12"/>
      </w:numPr>
      <w:spacing w:line="14" w:lineRule="exact"/>
      <w:ind w:left="811" w:hanging="448"/>
      <w:jc w:val="center"/>
      <w:outlineLvl w:val="0"/>
    </w:pPr>
    <w:rPr>
      <w:color w:val="FFFFFF"/>
    </w:rPr>
  </w:style>
  <w:style w:type="paragraph" w:customStyle="1" w:styleId="95">
    <w:name w:val="附录表标题"/>
    <w:basedOn w:val="1"/>
    <w:next w:val="23"/>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96">
    <w:name w:val="附录二级条标题"/>
    <w:basedOn w:val="1"/>
    <w:next w:val="23"/>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7">
    <w:name w:val="附录二级无"/>
    <w:basedOn w:val="96"/>
    <w:qFormat/>
    <w:uiPriority w:val="99"/>
    <w:pPr>
      <w:tabs>
        <w:tab w:val="clear" w:pos="360"/>
      </w:tabs>
      <w:spacing w:beforeLines="0" w:afterLines="0"/>
    </w:pPr>
    <w:rPr>
      <w:rFonts w:ascii="宋体" w:eastAsia="宋体"/>
      <w:szCs w:val="21"/>
    </w:rPr>
  </w:style>
  <w:style w:type="paragraph" w:customStyle="1" w:styleId="98">
    <w:name w:val="附录公式"/>
    <w:basedOn w:val="23"/>
    <w:next w:val="23"/>
    <w:link w:val="99"/>
    <w:qFormat/>
    <w:uiPriority w:val="99"/>
  </w:style>
  <w:style w:type="character" w:customStyle="1" w:styleId="99">
    <w:name w:val="附录公式 Char"/>
    <w:link w:val="98"/>
    <w:qFormat/>
    <w:locked/>
    <w:uiPriority w:val="99"/>
    <w:rPr>
      <w:rFonts w:ascii="宋体"/>
      <w:sz w:val="21"/>
      <w:lang w:val="en-US" w:eastAsia="zh-CN"/>
    </w:rPr>
  </w:style>
  <w:style w:type="paragraph" w:customStyle="1" w:styleId="100">
    <w:name w:val="附录公式编号制表符"/>
    <w:basedOn w:val="1"/>
    <w:next w:val="23"/>
    <w:qFormat/>
    <w:uiPriority w:val="99"/>
    <w:pPr>
      <w:widowControl/>
      <w:tabs>
        <w:tab w:val="center" w:pos="4201"/>
        <w:tab w:val="right" w:leader="dot" w:pos="9298"/>
      </w:tabs>
      <w:autoSpaceDE w:val="0"/>
      <w:autoSpaceDN w:val="0"/>
    </w:pPr>
    <w:rPr>
      <w:rFonts w:ascii="宋体"/>
      <w:kern w:val="0"/>
      <w:szCs w:val="20"/>
    </w:rPr>
  </w:style>
  <w:style w:type="paragraph" w:customStyle="1" w:styleId="101">
    <w:name w:val="附录三级条标题"/>
    <w:basedOn w:val="96"/>
    <w:next w:val="23"/>
    <w:qFormat/>
    <w:uiPriority w:val="0"/>
    <w:pPr>
      <w:numPr>
        <w:ilvl w:val="4"/>
      </w:numPr>
      <w:outlineLvl w:val="4"/>
    </w:pPr>
  </w:style>
  <w:style w:type="paragraph" w:customStyle="1" w:styleId="102">
    <w:name w:val="附录三级无"/>
    <w:basedOn w:val="101"/>
    <w:qFormat/>
    <w:uiPriority w:val="99"/>
    <w:pPr>
      <w:tabs>
        <w:tab w:val="clear" w:pos="360"/>
      </w:tabs>
      <w:spacing w:beforeLines="0" w:afterLines="0"/>
    </w:pPr>
    <w:rPr>
      <w:rFonts w:ascii="宋体" w:eastAsia="宋体"/>
      <w:szCs w:val="21"/>
    </w:rPr>
  </w:style>
  <w:style w:type="paragraph" w:customStyle="1" w:styleId="103">
    <w:name w:val="附录数字编号列项（二级）"/>
    <w:qFormat/>
    <w:uiPriority w:val="99"/>
    <w:pPr>
      <w:numPr>
        <w:ilvl w:val="1"/>
        <w:numId w:val="13"/>
      </w:numPr>
    </w:pPr>
    <w:rPr>
      <w:rFonts w:ascii="宋体" w:hAnsi="Times New Roman" w:eastAsia="宋体" w:cs="Times New Roman"/>
      <w:sz w:val="21"/>
      <w:lang w:val="en-US" w:eastAsia="zh-CN" w:bidi="ar-SA"/>
    </w:rPr>
  </w:style>
  <w:style w:type="paragraph" w:customStyle="1" w:styleId="104">
    <w:name w:val="附录四级条标题"/>
    <w:basedOn w:val="101"/>
    <w:next w:val="23"/>
    <w:qFormat/>
    <w:uiPriority w:val="0"/>
    <w:pPr>
      <w:numPr>
        <w:ilvl w:val="5"/>
      </w:numPr>
      <w:outlineLvl w:val="5"/>
    </w:pPr>
  </w:style>
  <w:style w:type="paragraph" w:customStyle="1" w:styleId="105">
    <w:name w:val="附录四级无"/>
    <w:basedOn w:val="104"/>
    <w:qFormat/>
    <w:uiPriority w:val="99"/>
    <w:pPr>
      <w:tabs>
        <w:tab w:val="clear" w:pos="360"/>
      </w:tabs>
      <w:spacing w:beforeLines="0" w:afterLines="0"/>
    </w:pPr>
    <w:rPr>
      <w:rFonts w:ascii="宋体" w:eastAsia="宋体"/>
      <w:szCs w:val="21"/>
    </w:rPr>
  </w:style>
  <w:style w:type="paragraph" w:customStyle="1" w:styleId="106">
    <w:name w:val="附录图标号"/>
    <w:basedOn w:val="1"/>
    <w:qFormat/>
    <w:uiPriority w:val="99"/>
    <w:pPr>
      <w:keepNext/>
      <w:pageBreakBefore/>
      <w:widowControl/>
      <w:numPr>
        <w:ilvl w:val="0"/>
        <w:numId w:val="14"/>
      </w:numPr>
      <w:spacing w:line="14" w:lineRule="exact"/>
      <w:ind w:left="0" w:firstLine="363"/>
      <w:jc w:val="center"/>
      <w:outlineLvl w:val="0"/>
    </w:pPr>
    <w:rPr>
      <w:color w:val="FFFFFF"/>
    </w:rPr>
  </w:style>
  <w:style w:type="paragraph" w:customStyle="1" w:styleId="107">
    <w:name w:val="附录图标题"/>
    <w:basedOn w:val="1"/>
    <w:next w:val="23"/>
    <w:qFormat/>
    <w:uiPriority w:val="99"/>
    <w:pPr>
      <w:numPr>
        <w:ilvl w:val="1"/>
        <w:numId w:val="14"/>
      </w:numPr>
      <w:tabs>
        <w:tab w:val="left" w:pos="363"/>
      </w:tabs>
      <w:spacing w:beforeLines="50" w:afterLines="50"/>
      <w:ind w:left="0" w:firstLine="0"/>
      <w:jc w:val="center"/>
    </w:pPr>
    <w:rPr>
      <w:rFonts w:ascii="黑体" w:eastAsia="黑体"/>
      <w:szCs w:val="21"/>
    </w:rPr>
  </w:style>
  <w:style w:type="paragraph" w:customStyle="1" w:styleId="108">
    <w:name w:val="附录五级条标题"/>
    <w:basedOn w:val="104"/>
    <w:next w:val="23"/>
    <w:qFormat/>
    <w:uiPriority w:val="0"/>
    <w:pPr>
      <w:numPr>
        <w:ilvl w:val="6"/>
      </w:numPr>
      <w:outlineLvl w:val="6"/>
    </w:pPr>
  </w:style>
  <w:style w:type="paragraph" w:customStyle="1" w:styleId="109">
    <w:name w:val="附录五级无"/>
    <w:basedOn w:val="108"/>
    <w:qFormat/>
    <w:uiPriority w:val="99"/>
    <w:pPr>
      <w:tabs>
        <w:tab w:val="clear" w:pos="360"/>
      </w:tabs>
      <w:spacing w:beforeLines="0" w:afterLines="0"/>
    </w:pPr>
    <w:rPr>
      <w:rFonts w:ascii="宋体" w:eastAsia="宋体"/>
      <w:szCs w:val="21"/>
    </w:rPr>
  </w:style>
  <w:style w:type="paragraph" w:customStyle="1" w:styleId="110">
    <w:name w:val="附录章标题"/>
    <w:next w:val="23"/>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附录一级条标题"/>
    <w:basedOn w:val="110"/>
    <w:next w:val="23"/>
    <w:qFormat/>
    <w:uiPriority w:val="0"/>
    <w:pPr>
      <w:numPr>
        <w:ilvl w:val="2"/>
      </w:numPr>
      <w:autoSpaceDN w:val="0"/>
      <w:spacing w:beforeLines="50" w:afterLines="50"/>
      <w:outlineLvl w:val="2"/>
    </w:pPr>
  </w:style>
  <w:style w:type="paragraph" w:customStyle="1" w:styleId="112">
    <w:name w:val="附录一级无"/>
    <w:basedOn w:val="111"/>
    <w:qFormat/>
    <w:uiPriority w:val="99"/>
    <w:pPr>
      <w:tabs>
        <w:tab w:val="clear" w:pos="360"/>
      </w:tabs>
      <w:spacing w:beforeLines="0" w:afterLines="0"/>
    </w:pPr>
    <w:rPr>
      <w:rFonts w:ascii="宋体" w:eastAsia="宋体"/>
      <w:szCs w:val="21"/>
    </w:rPr>
  </w:style>
  <w:style w:type="paragraph" w:customStyle="1" w:styleId="113">
    <w:name w:val="附录字母编号列项（一级）"/>
    <w:qFormat/>
    <w:uiPriority w:val="99"/>
    <w:pPr>
      <w:numPr>
        <w:ilvl w:val="0"/>
        <w:numId w:val="13"/>
      </w:numPr>
    </w:pPr>
    <w:rPr>
      <w:rFonts w:ascii="宋体" w:hAnsi="Times New Roman" w:eastAsia="宋体" w:cs="Times New Roman"/>
      <w:sz w:val="21"/>
      <w:lang w:val="en-US" w:eastAsia="zh-CN" w:bidi="ar-SA"/>
    </w:rPr>
  </w:style>
  <w:style w:type="paragraph" w:customStyle="1" w:styleId="114">
    <w:name w:val="列项说明"/>
    <w:basedOn w:val="1"/>
    <w:qFormat/>
    <w:uiPriority w:val="99"/>
    <w:pPr>
      <w:adjustRightInd w:val="0"/>
      <w:spacing w:line="320" w:lineRule="exact"/>
      <w:ind w:left="400" w:leftChars="200" w:hanging="200" w:hangingChars="200"/>
      <w:jc w:val="left"/>
      <w:textAlignment w:val="baseline"/>
    </w:pPr>
    <w:rPr>
      <w:rFonts w:ascii="宋体"/>
      <w:kern w:val="0"/>
      <w:szCs w:val="20"/>
    </w:rPr>
  </w:style>
  <w:style w:type="paragraph" w:customStyle="1" w:styleId="115">
    <w:name w:val="列项说明数字编号"/>
    <w:qFormat/>
    <w:uiPriority w:val="99"/>
    <w:pPr>
      <w:ind w:left="600" w:leftChars="400" w:hanging="200" w:hangingChars="200"/>
    </w:pPr>
    <w:rPr>
      <w:rFonts w:ascii="宋体" w:hAnsi="Times New Roman" w:eastAsia="宋体" w:cs="Times New Roman"/>
      <w:sz w:val="21"/>
      <w:lang w:val="en-US" w:eastAsia="zh-CN" w:bidi="ar-SA"/>
    </w:rPr>
  </w:style>
  <w:style w:type="paragraph" w:customStyle="1" w:styleId="116">
    <w:name w:val="目次、索引正文"/>
    <w:qFormat/>
    <w:uiPriority w:val="99"/>
    <w:pPr>
      <w:spacing w:line="320" w:lineRule="exact"/>
      <w:jc w:val="both"/>
    </w:pPr>
    <w:rPr>
      <w:rFonts w:ascii="宋体" w:hAnsi="Times New Roman" w:eastAsia="宋体" w:cs="Times New Roman"/>
      <w:sz w:val="21"/>
      <w:lang w:val="en-US" w:eastAsia="zh-CN" w:bidi="ar-SA"/>
    </w:rPr>
  </w:style>
  <w:style w:type="paragraph" w:customStyle="1" w:styleId="117">
    <w:name w:val="其他标准标志"/>
    <w:basedOn w:val="74"/>
    <w:qFormat/>
    <w:uiPriority w:val="99"/>
    <w:pPr>
      <w:framePr w:w="6101" w:wrap="around" w:vAnchor="page" w:hAnchor="page" w:x="4673" w:y="942"/>
    </w:pPr>
    <w:rPr>
      <w:w w:val="130"/>
    </w:rPr>
  </w:style>
  <w:style w:type="paragraph" w:customStyle="1" w:styleId="118">
    <w:name w:val="其他标准称谓"/>
    <w:next w:val="1"/>
    <w:qFormat/>
    <w:uiPriority w:val="99"/>
    <w:pPr>
      <w:framePr w:hSpace="181" w:vSpace="181" w:wrap="around" w:vAnchor="page" w:hAnchor="page" w:x="1419" w:y="2286" w:anchorLock="1"/>
      <w:spacing w:line="240" w:lineRule="atLeast"/>
      <w:jc w:val="distribute"/>
    </w:pPr>
    <w:rPr>
      <w:rFonts w:ascii="黑体" w:hAnsi="宋体" w:eastAsia="黑体" w:cs="Times New Roman"/>
      <w:spacing w:val="-40"/>
      <w:sz w:val="48"/>
      <w:szCs w:val="52"/>
      <w:lang w:val="en-US" w:eastAsia="zh-CN" w:bidi="ar-SA"/>
    </w:rPr>
  </w:style>
  <w:style w:type="paragraph" w:customStyle="1" w:styleId="119">
    <w:name w:val="其他发布部门"/>
    <w:basedOn w:val="82"/>
    <w:qFormat/>
    <w:uiPriority w:val="99"/>
    <w:pPr>
      <w:framePr w:wrap="around" w:y="15310"/>
      <w:spacing w:line="240" w:lineRule="atLeast"/>
    </w:pPr>
    <w:rPr>
      <w:rFonts w:ascii="黑体" w:eastAsia="黑体"/>
      <w:b w:val="0"/>
    </w:rPr>
  </w:style>
  <w:style w:type="paragraph" w:customStyle="1" w:styleId="120">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1">
    <w:name w:val="三级无"/>
    <w:basedOn w:val="59"/>
    <w:qFormat/>
    <w:uiPriority w:val="99"/>
    <w:pPr>
      <w:spacing w:beforeLines="0" w:afterLines="0"/>
    </w:pPr>
    <w:rPr>
      <w:rFonts w:ascii="宋体" w:eastAsia="宋体"/>
    </w:rPr>
  </w:style>
  <w:style w:type="paragraph" w:customStyle="1" w:styleId="122">
    <w:name w:val="实施日期"/>
    <w:basedOn w:val="83"/>
    <w:qFormat/>
    <w:uiPriority w:val="99"/>
    <w:pPr>
      <w:framePr w:wrap="around" w:vAnchor="page" w:hAnchor="text"/>
      <w:jc w:val="right"/>
    </w:pPr>
  </w:style>
  <w:style w:type="paragraph" w:customStyle="1" w:styleId="123">
    <w:name w:val="示例后文字"/>
    <w:basedOn w:val="23"/>
    <w:next w:val="23"/>
    <w:qFormat/>
    <w:uiPriority w:val="99"/>
    <w:pPr>
      <w:ind w:firstLine="360"/>
    </w:pPr>
    <w:rPr>
      <w:sz w:val="18"/>
    </w:rPr>
  </w:style>
  <w:style w:type="paragraph" w:customStyle="1" w:styleId="124">
    <w:name w:val="首示例"/>
    <w:next w:val="23"/>
    <w:link w:val="125"/>
    <w:qFormat/>
    <w:uiPriority w:val="99"/>
    <w:pPr>
      <w:numPr>
        <w:ilvl w:val="0"/>
        <w:numId w:val="15"/>
      </w:numPr>
      <w:tabs>
        <w:tab w:val="left" w:pos="360"/>
      </w:tabs>
      <w:ind w:firstLine="0"/>
    </w:pPr>
    <w:rPr>
      <w:rFonts w:ascii="宋体" w:hAnsi="Times New Roman" w:eastAsia="宋体" w:cs="Times New Roman"/>
      <w:kern w:val="2"/>
      <w:sz w:val="22"/>
      <w:lang w:val="en-US" w:eastAsia="zh-CN" w:bidi="ar-SA"/>
    </w:rPr>
  </w:style>
  <w:style w:type="character" w:customStyle="1" w:styleId="125">
    <w:name w:val="首示例 Char"/>
    <w:link w:val="124"/>
    <w:qFormat/>
    <w:locked/>
    <w:uiPriority w:val="99"/>
    <w:rPr>
      <w:rFonts w:ascii="宋体"/>
      <w:kern w:val="2"/>
      <w:sz w:val="22"/>
    </w:rPr>
  </w:style>
  <w:style w:type="paragraph" w:customStyle="1" w:styleId="126">
    <w:name w:val="四级无"/>
    <w:basedOn w:val="63"/>
    <w:qFormat/>
    <w:uiPriority w:val="99"/>
    <w:pPr>
      <w:spacing w:beforeLines="0" w:afterLines="0"/>
    </w:pPr>
    <w:rPr>
      <w:rFonts w:ascii="宋体" w:eastAsia="宋体"/>
    </w:rPr>
  </w:style>
  <w:style w:type="paragraph" w:customStyle="1" w:styleId="127">
    <w:name w:val="条文脚注"/>
    <w:basedOn w:val="24"/>
    <w:qFormat/>
    <w:uiPriority w:val="99"/>
    <w:pPr>
      <w:numPr>
        <w:numId w:val="0"/>
      </w:numPr>
      <w:jc w:val="both"/>
    </w:pPr>
  </w:style>
  <w:style w:type="paragraph" w:customStyle="1" w:styleId="128">
    <w:name w:val="图标脚注说明"/>
    <w:basedOn w:val="23"/>
    <w:qFormat/>
    <w:uiPriority w:val="99"/>
    <w:pPr>
      <w:ind w:left="840" w:hanging="420" w:firstLineChars="0"/>
    </w:pPr>
    <w:rPr>
      <w:sz w:val="18"/>
      <w:szCs w:val="18"/>
    </w:rPr>
  </w:style>
  <w:style w:type="paragraph" w:customStyle="1" w:styleId="129">
    <w:name w:val="图表脚注说明"/>
    <w:basedOn w:val="1"/>
    <w:qFormat/>
    <w:uiPriority w:val="99"/>
    <w:pPr>
      <w:numPr>
        <w:ilvl w:val="0"/>
        <w:numId w:val="16"/>
      </w:numPr>
    </w:pPr>
    <w:rPr>
      <w:rFonts w:ascii="宋体"/>
      <w:sz w:val="18"/>
      <w:szCs w:val="18"/>
    </w:rPr>
  </w:style>
  <w:style w:type="paragraph" w:customStyle="1" w:styleId="130">
    <w:name w:val="图的脚注"/>
    <w:next w:val="23"/>
    <w:qFormat/>
    <w:uiPriority w:val="99"/>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1">
    <w:name w:val="文献分类号"/>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五级无"/>
    <w:basedOn w:val="64"/>
    <w:qFormat/>
    <w:uiPriority w:val="99"/>
    <w:pPr>
      <w:spacing w:beforeLines="0" w:afterLines="0"/>
    </w:pPr>
    <w:rPr>
      <w:rFonts w:ascii="宋体" w:eastAsia="宋体"/>
    </w:rPr>
  </w:style>
  <w:style w:type="paragraph" w:customStyle="1" w:styleId="133">
    <w:name w:val="一级无"/>
    <w:basedOn w:val="49"/>
    <w:qFormat/>
    <w:uiPriority w:val="99"/>
    <w:pPr>
      <w:spacing w:beforeLines="0" w:afterLines="0"/>
    </w:pPr>
    <w:rPr>
      <w:rFonts w:ascii="宋体" w:eastAsia="宋体"/>
    </w:rPr>
  </w:style>
  <w:style w:type="paragraph" w:customStyle="1" w:styleId="134">
    <w:name w:val="正文表标题"/>
    <w:next w:val="23"/>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35">
    <w:name w:val="正文公式编号制表符"/>
    <w:basedOn w:val="23"/>
    <w:next w:val="23"/>
    <w:qFormat/>
    <w:uiPriority w:val="99"/>
    <w:pPr>
      <w:ind w:firstLine="0" w:firstLineChars="0"/>
    </w:pPr>
  </w:style>
  <w:style w:type="paragraph" w:customStyle="1" w:styleId="136">
    <w:name w:val="正文图标题"/>
    <w:next w:val="23"/>
    <w:qFormat/>
    <w:uiPriority w:val="0"/>
    <w:pPr>
      <w:numPr>
        <w:ilvl w:val="0"/>
        <w:numId w:val="18"/>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7">
    <w:name w:val="终结线"/>
    <w:basedOn w:val="1"/>
    <w:qFormat/>
    <w:uiPriority w:val="99"/>
    <w:pPr>
      <w:framePr w:hSpace="181" w:vSpace="181" w:wrap="around" w:vAnchor="text" w:hAnchor="margin" w:xAlign="center" w:y="285"/>
    </w:pPr>
  </w:style>
  <w:style w:type="paragraph" w:customStyle="1" w:styleId="138">
    <w:name w:val="其他发布日期"/>
    <w:basedOn w:val="83"/>
    <w:qFormat/>
    <w:uiPriority w:val="99"/>
    <w:pPr>
      <w:framePr w:wrap="around" w:vAnchor="page" w:hAnchor="text" w:x="1419"/>
    </w:pPr>
  </w:style>
  <w:style w:type="paragraph" w:customStyle="1" w:styleId="139">
    <w:name w:val="其他实施日期"/>
    <w:basedOn w:val="122"/>
    <w:qFormat/>
    <w:uiPriority w:val="99"/>
    <w:pPr>
      <w:framePr w:wrap="around"/>
    </w:pPr>
  </w:style>
  <w:style w:type="paragraph" w:customStyle="1" w:styleId="140">
    <w:name w:val="封面标准名称2"/>
    <w:basedOn w:val="86"/>
    <w:qFormat/>
    <w:uiPriority w:val="99"/>
    <w:pPr>
      <w:framePr w:wrap="around" w:y="4469"/>
      <w:spacing w:beforeLines="630"/>
    </w:pPr>
  </w:style>
  <w:style w:type="paragraph" w:customStyle="1" w:styleId="141">
    <w:name w:val="封面标准英文名称2"/>
    <w:basedOn w:val="87"/>
    <w:qFormat/>
    <w:uiPriority w:val="99"/>
    <w:pPr>
      <w:framePr w:wrap="around" w:y="4469"/>
    </w:pPr>
  </w:style>
  <w:style w:type="paragraph" w:customStyle="1" w:styleId="142">
    <w:name w:val="封面一致性程度标识2"/>
    <w:basedOn w:val="88"/>
    <w:qFormat/>
    <w:uiPriority w:val="99"/>
    <w:pPr>
      <w:framePr w:wrap="around" w:y="4469"/>
    </w:pPr>
  </w:style>
  <w:style w:type="paragraph" w:customStyle="1" w:styleId="143">
    <w:name w:val="封面标准文稿类别2"/>
    <w:basedOn w:val="89"/>
    <w:qFormat/>
    <w:uiPriority w:val="99"/>
    <w:pPr>
      <w:framePr w:wrap="around" w:y="4469"/>
    </w:pPr>
  </w:style>
  <w:style w:type="paragraph" w:customStyle="1" w:styleId="144">
    <w:name w:val="封面标准文稿编辑信息2"/>
    <w:basedOn w:val="90"/>
    <w:qFormat/>
    <w:uiPriority w:val="99"/>
    <w:pPr>
      <w:framePr w:wrap="around" w:y="4469"/>
    </w:pPr>
  </w:style>
  <w:style w:type="paragraph" w:customStyle="1" w:styleId="145">
    <w:name w:val="二级无标题条"/>
    <w:basedOn w:val="1"/>
    <w:qFormat/>
    <w:uiPriority w:val="99"/>
    <w:pPr>
      <w:numPr>
        <w:ilvl w:val="3"/>
        <w:numId w:val="19"/>
      </w:numPr>
    </w:pPr>
  </w:style>
  <w:style w:type="paragraph" w:customStyle="1" w:styleId="146">
    <w:name w:val="三级无标题条"/>
    <w:basedOn w:val="1"/>
    <w:qFormat/>
    <w:uiPriority w:val="99"/>
    <w:pPr>
      <w:numPr>
        <w:ilvl w:val="4"/>
        <w:numId w:val="19"/>
      </w:numPr>
    </w:pPr>
  </w:style>
  <w:style w:type="paragraph" w:customStyle="1" w:styleId="147">
    <w:name w:val="四级无标题条"/>
    <w:basedOn w:val="1"/>
    <w:qFormat/>
    <w:uiPriority w:val="99"/>
    <w:pPr>
      <w:numPr>
        <w:ilvl w:val="5"/>
        <w:numId w:val="19"/>
      </w:numPr>
    </w:pPr>
  </w:style>
  <w:style w:type="paragraph" w:customStyle="1" w:styleId="148">
    <w:name w:val="五级无标题条"/>
    <w:basedOn w:val="1"/>
    <w:qFormat/>
    <w:uiPriority w:val="99"/>
    <w:pPr>
      <w:numPr>
        <w:ilvl w:val="6"/>
        <w:numId w:val="19"/>
      </w:numPr>
    </w:pPr>
  </w:style>
  <w:style w:type="paragraph" w:customStyle="1" w:styleId="149">
    <w:name w:val="一级无标题条"/>
    <w:basedOn w:val="1"/>
    <w:qFormat/>
    <w:uiPriority w:val="99"/>
    <w:pPr>
      <w:numPr>
        <w:ilvl w:val="2"/>
        <w:numId w:val="19"/>
      </w:numPr>
    </w:pPr>
  </w:style>
  <w:style w:type="paragraph" w:customStyle="1" w:styleId="150">
    <w:name w:val="Char"/>
    <w:basedOn w:val="1"/>
    <w:qFormat/>
    <w:uiPriority w:val="99"/>
    <w:rPr>
      <w:rFonts w:ascii="Tahoma" w:hAnsi="Tahoma"/>
    </w:rPr>
  </w:style>
  <w:style w:type="character" w:customStyle="1" w:styleId="151">
    <w:name w:val="二级条标题 Char"/>
    <w:link w:val="54"/>
    <w:qFormat/>
    <w:locked/>
    <w:uiPriority w:val="0"/>
    <w:rPr>
      <w:rFonts w:ascii="黑体" w:eastAsia="黑体"/>
      <w:sz w:val="2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3" Type="http://schemas.openxmlformats.org/officeDocument/2006/relationships/fontTable" Target="fontTable.xml"/><Relationship Id="rId32" Type="http://schemas.microsoft.com/office/2006/relationships/keyMapCustomizations" Target="customizations.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14.emf"/><Relationship Id="rId28" Type="http://schemas.openxmlformats.org/officeDocument/2006/relationships/oleObject" Target="embeddings/oleObject7.bin"/><Relationship Id="rId27" Type="http://schemas.openxmlformats.org/officeDocument/2006/relationships/image" Target="media/image13.emf"/><Relationship Id="rId26" Type="http://schemas.openxmlformats.org/officeDocument/2006/relationships/oleObject" Target="embeddings/oleObject6.bin"/><Relationship Id="rId25" Type="http://schemas.openxmlformats.org/officeDocument/2006/relationships/image" Target="media/image12.emf"/><Relationship Id="rId24" Type="http://schemas.openxmlformats.org/officeDocument/2006/relationships/oleObject" Target="embeddings/oleObject5.bin"/><Relationship Id="rId23" Type="http://schemas.openxmlformats.org/officeDocument/2006/relationships/image" Target="media/image11.png"/><Relationship Id="rId22" Type="http://schemas.openxmlformats.org/officeDocument/2006/relationships/image" Target="media/image10.wmf"/><Relationship Id="rId21" Type="http://schemas.openxmlformats.org/officeDocument/2006/relationships/oleObject" Target="embeddings/oleObject4.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8.png"/><Relationship Id="rId17" Type="http://schemas.openxmlformats.org/officeDocument/2006/relationships/image" Target="media/image7.wmf"/><Relationship Id="rId16" Type="http://schemas.openxmlformats.org/officeDocument/2006/relationships/oleObject" Target="embeddings/oleObject2.bin"/><Relationship Id="rId15" Type="http://schemas.openxmlformats.org/officeDocument/2006/relationships/image" Target="media/image6.png"/><Relationship Id="rId14" Type="http://schemas.openxmlformats.org/officeDocument/2006/relationships/image" Target="media/image5.wmf"/><Relationship Id="rId13" Type="http://schemas.openxmlformats.org/officeDocument/2006/relationships/oleObject" Target="embeddings/oleObject1.bin"/><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6757;&#23453;&#36149;&#25991;&#20214;\&#26631;&#20934;\&#33609;&#29976;&#33190;&#26032;&#26631;&#20934;\&#25253;&#25209;&#31295;\&#33609;&#29976;&#33190;&#27700;&#21058;&#25253;&#25209;&#312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40"/>
    <customShpInfo spid="_x0000_s1039"/>
    <customShpInfo spid="_x0000_s1038"/>
    <customShpInfo spid="_x0000_s1036"/>
    <customShpInfo spid="_x0000_s1034"/>
    <customShpInfo spid="_x0000_s1032"/>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草甘膦水剂报批稿</Template>
  <Company>zle</Company>
  <Pages>17</Pages>
  <Words>1300</Words>
  <Characters>7413</Characters>
  <Lines>61</Lines>
  <Paragraphs>17</Paragraphs>
  <TotalTime>7</TotalTime>
  <ScaleCrop>false</ScaleCrop>
  <LinksUpToDate>false</LinksUpToDate>
  <CharactersWithSpaces>8696</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2023-03-01T05:09:00Z</dcterms:created>
  <dc:creator>meibaogui</dc:creator>
  <cp:lastModifiedBy>zhaoqinghua</cp:lastModifiedBy>
  <cp:lastPrinted>2025-11-05T01:45:00Z</cp:lastPrinted>
  <dcterms:modified xsi:type="dcterms:W3CDTF">2025-11-19T11:42:21Z</dcterms:modified>
  <dc:title>标准名称</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14AE2916CA7A41AC8DF2C5D243A73137_13</vt:lpwstr>
  </property>
</Properties>
</file>